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BF3C3A" w14:textId="220ECC85" w:rsidR="00D9129A" w:rsidRPr="00F8108A" w:rsidRDefault="00D9129A" w:rsidP="00872E89">
      <w:pPr>
        <w:pStyle w:val="Ttulo1"/>
        <w:ind w:left="1416" w:hanging="1416"/>
        <w:rPr>
          <w:sz w:val="24"/>
          <w:u w:val="single"/>
        </w:rPr>
      </w:pPr>
      <w:r w:rsidRPr="00F8108A">
        <w:rPr>
          <w:sz w:val="24"/>
          <w:u w:val="single"/>
        </w:rPr>
        <w:t>Evolución del Sistema Privado de Pensiones</w:t>
      </w:r>
    </w:p>
    <w:p w14:paraId="1F763B0A" w14:textId="55EC7E70" w:rsidR="00D9129A" w:rsidRPr="00F8108A" w:rsidRDefault="00DD0A86" w:rsidP="00554784">
      <w:pPr>
        <w:pStyle w:val="Ttulo1"/>
        <w:ind w:left="708" w:hanging="708"/>
        <w:rPr>
          <w:sz w:val="24"/>
          <w:u w:val="single"/>
        </w:rPr>
      </w:pPr>
      <w:r w:rsidRPr="00F8108A">
        <w:rPr>
          <w:sz w:val="24"/>
          <w:u w:val="single"/>
        </w:rPr>
        <w:t>A</w:t>
      </w:r>
      <w:r w:rsidR="003B790A">
        <w:rPr>
          <w:sz w:val="24"/>
          <w:u w:val="single"/>
        </w:rPr>
        <w:t xml:space="preserve">l </w:t>
      </w:r>
      <w:r w:rsidR="00DC4811">
        <w:rPr>
          <w:sz w:val="24"/>
          <w:u w:val="single"/>
        </w:rPr>
        <w:t>Segundo</w:t>
      </w:r>
      <w:r w:rsidR="00C726B2" w:rsidRPr="00F8108A">
        <w:rPr>
          <w:sz w:val="24"/>
          <w:u w:val="single"/>
        </w:rPr>
        <w:t xml:space="preserve"> </w:t>
      </w:r>
      <w:r w:rsidR="00C23A26" w:rsidRPr="00F8108A">
        <w:rPr>
          <w:sz w:val="24"/>
          <w:u w:val="single"/>
        </w:rPr>
        <w:t xml:space="preserve">Trimestre de </w:t>
      </w:r>
      <w:r w:rsidR="001011CD">
        <w:rPr>
          <w:sz w:val="24"/>
          <w:u w:val="single"/>
        </w:rPr>
        <w:t>2026</w:t>
      </w:r>
    </w:p>
    <w:p w14:paraId="15C3AA6E" w14:textId="47E1436B" w:rsidR="007A6103" w:rsidRDefault="007A6103" w:rsidP="001011CD">
      <w:pPr>
        <w:ind w:left="708" w:hanging="708"/>
      </w:pPr>
    </w:p>
    <w:p w14:paraId="6EC3168B" w14:textId="77777777" w:rsidR="00367A2F" w:rsidRPr="00F8108A" w:rsidRDefault="00367A2F" w:rsidP="00872E89"/>
    <w:p w14:paraId="0E6DEF7E" w14:textId="77777777" w:rsidR="00D9129A" w:rsidRPr="00F8108A" w:rsidRDefault="00D9129A" w:rsidP="001011CD">
      <w:pPr>
        <w:ind w:left="1416" w:hanging="1416"/>
        <w:rPr>
          <w:b/>
          <w:bCs/>
        </w:rPr>
      </w:pPr>
      <w:r w:rsidRPr="00F8108A">
        <w:rPr>
          <w:b/>
          <w:bCs/>
        </w:rPr>
        <w:t xml:space="preserve">1.  Afiliación </w:t>
      </w:r>
    </w:p>
    <w:p w14:paraId="2D1CED7E" w14:textId="13E6A3F7" w:rsidR="00A97868" w:rsidRPr="00F8108A" w:rsidRDefault="00A97868" w:rsidP="00F12BFD">
      <w:pPr>
        <w:jc w:val="both"/>
        <w:rPr>
          <w:rFonts w:cs="Calibri"/>
          <w:color w:val="000000"/>
          <w:szCs w:val="22"/>
          <w:lang w:eastAsia="es-PE"/>
        </w:rPr>
      </w:pPr>
    </w:p>
    <w:p w14:paraId="6C824D83" w14:textId="33F58292" w:rsidR="0065397B" w:rsidRPr="00F8108A" w:rsidRDefault="00D0230A" w:rsidP="00B24C38">
      <w:pPr>
        <w:spacing w:line="276" w:lineRule="auto"/>
        <w:jc w:val="both"/>
        <w:rPr>
          <w:rFonts w:cs="Calibri"/>
          <w:color w:val="000000"/>
          <w:szCs w:val="22"/>
          <w:lang w:eastAsia="es-PE"/>
        </w:rPr>
      </w:pPr>
      <w:r w:rsidRPr="00D0230A">
        <w:rPr>
          <w:rFonts w:cs="Calibri"/>
          <w:color w:val="000000"/>
          <w:szCs w:val="22"/>
          <w:lang w:eastAsia="es-PE"/>
        </w:rPr>
        <w:t>A fines de junio de 2026, el total de afiliados ascendió a 10,6 millones, cifra superior en 5% a la registrada en junio de 2025. Respecto al flujo de afiliación, las personas que se afiliaron al SPP durante el segundo trimestre del año 2026 sumaron 122 630, cifra mayor en 16,8% a la registrada durante el trimestre anterior y mayor en 4,1% a la que se registró en el segundo trimestre del año previo.</w:t>
      </w:r>
      <w:r w:rsidRPr="00D0230A">
        <w:rPr>
          <w:rFonts w:cs="Calibri"/>
          <w:color w:val="000000"/>
          <w:szCs w:val="22"/>
          <w:lang w:eastAsia="es-PE"/>
        </w:rPr>
        <w:tab/>
      </w:r>
      <w:r w:rsidRPr="00D0230A">
        <w:rPr>
          <w:rFonts w:cs="Calibri"/>
          <w:color w:val="000000"/>
          <w:szCs w:val="22"/>
          <w:lang w:eastAsia="es-PE"/>
        </w:rPr>
        <w:tab/>
      </w:r>
      <w:r w:rsidRPr="00D0230A">
        <w:rPr>
          <w:rFonts w:cs="Calibri"/>
          <w:color w:val="000000"/>
          <w:szCs w:val="22"/>
          <w:lang w:eastAsia="es-PE"/>
        </w:rPr>
        <w:tab/>
      </w:r>
      <w:r w:rsidRPr="00D0230A">
        <w:rPr>
          <w:rFonts w:cs="Calibri"/>
          <w:color w:val="000000"/>
          <w:szCs w:val="22"/>
          <w:lang w:eastAsia="es-PE"/>
        </w:rPr>
        <w:tab/>
      </w:r>
      <w:r w:rsidRPr="00D0230A">
        <w:rPr>
          <w:rFonts w:cs="Calibri"/>
          <w:color w:val="000000"/>
          <w:szCs w:val="22"/>
          <w:lang w:eastAsia="es-PE"/>
        </w:rPr>
        <w:tab/>
      </w:r>
      <w:r w:rsidRPr="00D0230A">
        <w:rPr>
          <w:rFonts w:cs="Calibri"/>
          <w:color w:val="000000"/>
          <w:szCs w:val="22"/>
          <w:lang w:eastAsia="es-PE"/>
        </w:rPr>
        <w:tab/>
      </w:r>
      <w:r w:rsidRPr="00D0230A">
        <w:rPr>
          <w:rFonts w:cs="Calibri"/>
          <w:color w:val="000000"/>
          <w:szCs w:val="22"/>
          <w:lang w:eastAsia="es-PE"/>
        </w:rPr>
        <w:tab/>
      </w:r>
      <w:r w:rsidRPr="00D0230A">
        <w:rPr>
          <w:rFonts w:cs="Calibri"/>
          <w:color w:val="000000"/>
          <w:szCs w:val="22"/>
          <w:lang w:eastAsia="es-PE"/>
        </w:rPr>
        <w:tab/>
      </w:r>
      <w:r w:rsidRPr="00D0230A">
        <w:rPr>
          <w:rFonts w:cs="Calibri"/>
          <w:color w:val="000000"/>
          <w:szCs w:val="22"/>
          <w:lang w:eastAsia="es-PE"/>
        </w:rPr>
        <w:tab/>
      </w:r>
      <w:r w:rsidRPr="00D0230A">
        <w:rPr>
          <w:rFonts w:cs="Calibri"/>
          <w:color w:val="000000"/>
          <w:szCs w:val="22"/>
          <w:lang w:eastAsia="es-PE"/>
        </w:rPr>
        <w:tab/>
      </w:r>
      <w:r w:rsidRPr="00D0230A">
        <w:rPr>
          <w:rFonts w:cs="Calibri"/>
          <w:color w:val="000000"/>
          <w:szCs w:val="22"/>
          <w:lang w:eastAsia="es-PE"/>
        </w:rPr>
        <w:tab/>
      </w:r>
      <w:r w:rsidRPr="00D0230A">
        <w:rPr>
          <w:rFonts w:cs="Calibri"/>
          <w:color w:val="000000"/>
          <w:szCs w:val="22"/>
          <w:lang w:eastAsia="es-PE"/>
        </w:rPr>
        <w:tab/>
      </w:r>
      <w:r w:rsidR="005619D1" w:rsidRPr="005619D1">
        <w:rPr>
          <w:rFonts w:cs="Calibri"/>
          <w:color w:val="000000"/>
          <w:szCs w:val="22"/>
          <w:lang w:eastAsia="es-PE"/>
        </w:rPr>
        <w:tab/>
      </w:r>
      <w:r w:rsidR="005619D1" w:rsidRPr="005619D1">
        <w:rPr>
          <w:rFonts w:cs="Calibri"/>
          <w:color w:val="000000"/>
          <w:szCs w:val="22"/>
          <w:lang w:eastAsia="es-PE"/>
        </w:rPr>
        <w:tab/>
      </w:r>
      <w:r w:rsidR="005619D1" w:rsidRPr="005619D1">
        <w:rPr>
          <w:rFonts w:cs="Calibri"/>
          <w:color w:val="000000"/>
          <w:szCs w:val="22"/>
          <w:lang w:eastAsia="es-PE"/>
        </w:rPr>
        <w:tab/>
      </w:r>
      <w:r w:rsidR="005619D1" w:rsidRPr="005619D1">
        <w:rPr>
          <w:rFonts w:cs="Calibri"/>
          <w:color w:val="000000"/>
          <w:szCs w:val="22"/>
          <w:lang w:eastAsia="es-PE"/>
        </w:rPr>
        <w:tab/>
      </w:r>
      <w:r w:rsidR="00DE306E" w:rsidRPr="00DE306E">
        <w:rPr>
          <w:rFonts w:cs="Calibri"/>
          <w:color w:val="000000"/>
          <w:szCs w:val="22"/>
          <w:lang w:eastAsia="es-PE"/>
        </w:rPr>
        <w:tab/>
      </w:r>
    </w:p>
    <w:p w14:paraId="5DE49BB1" w14:textId="5A5B2C68" w:rsidR="00606FA2" w:rsidRPr="00F8108A" w:rsidRDefault="00D0230A" w:rsidP="00872E89">
      <w:pPr>
        <w:pStyle w:val="Textoindependiente"/>
        <w:tabs>
          <w:tab w:val="left" w:pos="600"/>
          <w:tab w:val="left" w:pos="7920"/>
        </w:tabs>
        <w:ind w:left="600" w:hanging="600"/>
        <w:jc w:val="center"/>
        <w:rPr>
          <w:bCs w:val="0"/>
        </w:rPr>
      </w:pPr>
      <w:r>
        <w:rPr>
          <w:bCs w:val="0"/>
        </w:rPr>
        <w:t xml:space="preserve">          </w:t>
      </w:r>
      <w:r w:rsidR="00806502" w:rsidRPr="00F8108A">
        <w:rPr>
          <w:bCs w:val="0"/>
        </w:rPr>
        <w:t xml:space="preserve">Afiliación Mensual </w:t>
      </w:r>
      <w:r w:rsidR="00D9129A" w:rsidRPr="00F8108A">
        <w:rPr>
          <w:bCs w:val="0"/>
        </w:rPr>
        <w:t>por Tipo de Trabajador</w:t>
      </w:r>
    </w:p>
    <w:p w14:paraId="40DC5418" w14:textId="67F26D62" w:rsidR="0015573B" w:rsidRPr="005619D1" w:rsidRDefault="00D0230A" w:rsidP="005619D1">
      <w:pPr>
        <w:pStyle w:val="Textoindependiente"/>
        <w:tabs>
          <w:tab w:val="left" w:pos="600"/>
          <w:tab w:val="left" w:pos="7920"/>
        </w:tabs>
        <w:ind w:left="600" w:hanging="600"/>
        <w:jc w:val="center"/>
        <w:rPr>
          <w:bCs w:val="0"/>
        </w:rPr>
      </w:pPr>
      <w:r>
        <w:rPr>
          <w:bCs w:val="0"/>
        </w:rPr>
        <w:t xml:space="preserve">         </w:t>
      </w:r>
      <w:r w:rsidR="00930124" w:rsidRPr="00F8108A">
        <w:rPr>
          <w:bCs w:val="0"/>
        </w:rPr>
        <w:t>(Número de personas)</w:t>
      </w:r>
    </w:p>
    <w:p w14:paraId="18CEBF36" w14:textId="6286D0B8" w:rsidR="00554784" w:rsidRPr="0015573B" w:rsidRDefault="00D0230A" w:rsidP="0015573B">
      <w:pPr>
        <w:pStyle w:val="Textoindependiente"/>
        <w:tabs>
          <w:tab w:val="left" w:pos="600"/>
          <w:tab w:val="left" w:pos="7920"/>
        </w:tabs>
        <w:ind w:left="600" w:hanging="600"/>
        <w:jc w:val="center"/>
        <w:rPr>
          <w:sz w:val="20"/>
          <w:lang w:val="es-PE"/>
        </w:rPr>
      </w:pPr>
      <w:r>
        <w:rPr>
          <w:noProof/>
          <w:sz w:val="20"/>
          <w:lang w:val="es-PE"/>
        </w:rPr>
        <w:drawing>
          <wp:inline distT="0" distB="0" distL="0" distR="0" wp14:anchorId="7D5AD916" wp14:editId="4A1CB08F">
            <wp:extent cx="4480560" cy="2468880"/>
            <wp:effectExtent l="0" t="0" r="0" b="7620"/>
            <wp:docPr id="383130699"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02321" cy="2480871"/>
                    </a:xfrm>
                    <a:prstGeom prst="rect">
                      <a:avLst/>
                    </a:prstGeom>
                    <a:noFill/>
                  </pic:spPr>
                </pic:pic>
              </a:graphicData>
            </a:graphic>
          </wp:inline>
        </w:drawing>
      </w:r>
    </w:p>
    <w:p w14:paraId="2B5024CA" w14:textId="77777777" w:rsidR="00791B72" w:rsidRPr="00F8108A" w:rsidRDefault="00791B72" w:rsidP="00872E89">
      <w:pPr>
        <w:pStyle w:val="Textoindependiente"/>
        <w:tabs>
          <w:tab w:val="left" w:pos="600"/>
          <w:tab w:val="left" w:pos="7920"/>
        </w:tabs>
        <w:ind w:left="600" w:hanging="600"/>
        <w:jc w:val="center"/>
        <w:rPr>
          <w:bCs w:val="0"/>
          <w:sz w:val="20"/>
        </w:rPr>
      </w:pPr>
    </w:p>
    <w:p w14:paraId="58153121" w14:textId="6C1DEF75" w:rsidR="00D9129A" w:rsidRPr="00F8108A" w:rsidRDefault="00D9129A" w:rsidP="00872E89">
      <w:pPr>
        <w:shd w:val="clear" w:color="auto" w:fill="FFFFFF" w:themeFill="background1"/>
        <w:rPr>
          <w:b/>
          <w:bCs/>
          <w:szCs w:val="22"/>
        </w:rPr>
      </w:pPr>
      <w:r w:rsidRPr="00F8108A">
        <w:rPr>
          <w:b/>
          <w:bCs/>
          <w:szCs w:val="22"/>
        </w:rPr>
        <w:t xml:space="preserve">2.  </w:t>
      </w:r>
      <w:r w:rsidR="00BE496E" w:rsidRPr="00F8108A">
        <w:rPr>
          <w:b/>
          <w:bCs/>
          <w:szCs w:val="22"/>
        </w:rPr>
        <w:t xml:space="preserve">Solicitudes de </w:t>
      </w:r>
      <w:r w:rsidRPr="00F8108A">
        <w:rPr>
          <w:b/>
          <w:bCs/>
          <w:szCs w:val="22"/>
        </w:rPr>
        <w:t>Traspasos</w:t>
      </w:r>
    </w:p>
    <w:p w14:paraId="400AA497" w14:textId="3DDD61FC" w:rsidR="00D9129A" w:rsidRPr="00F8108A" w:rsidRDefault="00D9129A" w:rsidP="00872E89">
      <w:pPr>
        <w:rPr>
          <w:szCs w:val="22"/>
        </w:rPr>
      </w:pPr>
    </w:p>
    <w:p w14:paraId="45402FC8" w14:textId="77777777" w:rsidR="00D0230A" w:rsidRPr="00D0230A" w:rsidRDefault="00D0230A" w:rsidP="00B24C38">
      <w:pPr>
        <w:pStyle w:val="Textoindependiente3"/>
        <w:spacing w:line="276" w:lineRule="auto"/>
        <w:rPr>
          <w:rFonts w:cs="Calibri"/>
          <w:color w:val="000000"/>
          <w:szCs w:val="22"/>
          <w:lang w:val="es-PE" w:eastAsia="es-PE"/>
        </w:rPr>
      </w:pPr>
      <w:r w:rsidRPr="00D0230A">
        <w:rPr>
          <w:rFonts w:cs="Calibri"/>
          <w:color w:val="000000"/>
          <w:szCs w:val="22"/>
          <w:lang w:val="es-PE" w:eastAsia="es-PE"/>
        </w:rPr>
        <w:t>Las solicitudes de traspaso aceptadas en el segundo trimestre del año fueron 23 618, flujo menor en 1,7% al registrado en el trimestre previo pero mayor en 9,3% con relación al segundo trimestre de 2025. Esta dinámica implica un ingreso neto (ingresos menos salidas de afiliados) positivo de afiliados por traspasos para dos de las cuatro administradoras que conforman el SPP.</w:t>
      </w:r>
      <w:r w:rsidRPr="00D0230A">
        <w:rPr>
          <w:rFonts w:cs="Calibri"/>
          <w:color w:val="000000"/>
          <w:szCs w:val="22"/>
          <w:lang w:val="es-PE" w:eastAsia="es-PE"/>
        </w:rPr>
        <w:tab/>
      </w:r>
      <w:r w:rsidRPr="00D0230A">
        <w:rPr>
          <w:rFonts w:cs="Calibri"/>
          <w:color w:val="000000"/>
          <w:szCs w:val="22"/>
          <w:lang w:val="es-PE" w:eastAsia="es-PE"/>
        </w:rPr>
        <w:tab/>
      </w:r>
      <w:r w:rsidRPr="00D0230A">
        <w:rPr>
          <w:rFonts w:cs="Calibri"/>
          <w:color w:val="000000"/>
          <w:szCs w:val="22"/>
          <w:lang w:val="es-PE" w:eastAsia="es-PE"/>
        </w:rPr>
        <w:tab/>
      </w:r>
      <w:r w:rsidRPr="00D0230A">
        <w:rPr>
          <w:rFonts w:cs="Calibri"/>
          <w:color w:val="000000"/>
          <w:szCs w:val="22"/>
          <w:lang w:val="es-PE" w:eastAsia="es-PE"/>
        </w:rPr>
        <w:tab/>
      </w:r>
      <w:r w:rsidRPr="00D0230A">
        <w:rPr>
          <w:rFonts w:cs="Calibri"/>
          <w:color w:val="000000"/>
          <w:szCs w:val="22"/>
          <w:lang w:val="es-PE" w:eastAsia="es-PE"/>
        </w:rPr>
        <w:tab/>
      </w:r>
    </w:p>
    <w:p w14:paraId="26FDB5CE" w14:textId="126B5868" w:rsidR="00D0230A" w:rsidRPr="00D0230A" w:rsidRDefault="00D0230A" w:rsidP="00D0230A">
      <w:pPr>
        <w:pStyle w:val="Textoindependiente3"/>
        <w:rPr>
          <w:rFonts w:cs="Calibri"/>
          <w:color w:val="000000"/>
          <w:szCs w:val="22"/>
          <w:lang w:val="es-PE" w:eastAsia="es-PE"/>
        </w:rPr>
      </w:pPr>
      <w:r w:rsidRPr="00D0230A">
        <w:rPr>
          <w:rFonts w:cs="Calibri"/>
          <w:color w:val="000000"/>
          <w:szCs w:val="22"/>
          <w:lang w:val="es-PE" w:eastAsia="es-PE"/>
        </w:rPr>
        <w:tab/>
      </w:r>
      <w:r w:rsidRPr="00D0230A">
        <w:rPr>
          <w:rFonts w:cs="Calibri"/>
          <w:color w:val="000000"/>
          <w:szCs w:val="22"/>
          <w:lang w:val="es-PE" w:eastAsia="es-PE"/>
        </w:rPr>
        <w:tab/>
      </w:r>
      <w:r w:rsidRPr="00D0230A">
        <w:rPr>
          <w:rFonts w:cs="Calibri"/>
          <w:color w:val="000000"/>
          <w:szCs w:val="22"/>
          <w:lang w:val="es-PE" w:eastAsia="es-PE"/>
        </w:rPr>
        <w:tab/>
      </w:r>
      <w:r w:rsidRPr="00D0230A">
        <w:rPr>
          <w:rFonts w:cs="Calibri"/>
          <w:color w:val="000000"/>
          <w:szCs w:val="22"/>
          <w:lang w:val="es-PE" w:eastAsia="es-PE"/>
        </w:rPr>
        <w:tab/>
      </w:r>
      <w:r w:rsidRPr="00D0230A">
        <w:rPr>
          <w:rFonts w:cs="Calibri"/>
          <w:color w:val="000000"/>
          <w:szCs w:val="22"/>
          <w:lang w:val="es-PE" w:eastAsia="es-PE"/>
        </w:rPr>
        <w:tab/>
      </w:r>
      <w:r w:rsidRPr="00D0230A">
        <w:rPr>
          <w:rFonts w:cs="Calibri"/>
          <w:color w:val="000000"/>
          <w:szCs w:val="22"/>
          <w:lang w:val="es-PE" w:eastAsia="es-PE"/>
        </w:rPr>
        <w:tab/>
      </w:r>
      <w:r w:rsidRPr="00D0230A">
        <w:rPr>
          <w:rFonts w:cs="Calibri"/>
          <w:color w:val="000000"/>
          <w:szCs w:val="22"/>
          <w:lang w:val="es-PE" w:eastAsia="es-PE"/>
        </w:rPr>
        <w:tab/>
      </w:r>
      <w:r w:rsidRPr="00D0230A">
        <w:rPr>
          <w:rFonts w:cs="Calibri"/>
          <w:color w:val="000000"/>
          <w:szCs w:val="22"/>
          <w:lang w:val="es-PE" w:eastAsia="es-PE"/>
        </w:rPr>
        <w:tab/>
      </w:r>
      <w:r w:rsidRPr="00D0230A">
        <w:rPr>
          <w:rFonts w:cs="Calibri"/>
          <w:color w:val="000000"/>
          <w:szCs w:val="22"/>
          <w:lang w:val="es-PE" w:eastAsia="es-PE"/>
        </w:rPr>
        <w:tab/>
      </w:r>
      <w:r w:rsidRPr="00D0230A">
        <w:rPr>
          <w:rFonts w:cs="Calibri"/>
          <w:color w:val="000000"/>
          <w:szCs w:val="22"/>
          <w:lang w:val="es-PE" w:eastAsia="es-PE"/>
        </w:rPr>
        <w:tab/>
      </w:r>
    </w:p>
    <w:p w14:paraId="45C66575" w14:textId="672F2420" w:rsidR="000901C4" w:rsidRPr="00F8108A" w:rsidRDefault="009A5264" w:rsidP="00872E89">
      <w:pPr>
        <w:pStyle w:val="Textoindependiente3"/>
        <w:jc w:val="center"/>
        <w:rPr>
          <w:b/>
          <w:szCs w:val="22"/>
          <w:lang w:val="es-ES"/>
        </w:rPr>
      </w:pPr>
      <w:r w:rsidRPr="00F8108A">
        <w:rPr>
          <w:b/>
          <w:szCs w:val="22"/>
          <w:lang w:val="es-ES"/>
        </w:rPr>
        <w:t>Solicitudes de Traspaso Aceptadas</w:t>
      </w:r>
    </w:p>
    <w:p w14:paraId="58711589" w14:textId="53CE4994" w:rsidR="00872E89" w:rsidRDefault="00D0230A" w:rsidP="00306937">
      <w:pPr>
        <w:pStyle w:val="Textoindependiente3"/>
        <w:jc w:val="center"/>
        <w:rPr>
          <w:noProof/>
          <w:lang w:val="es-PE"/>
        </w:rPr>
      </w:pPr>
      <w:r>
        <w:rPr>
          <w:noProof/>
          <w:lang w:val="es-PE"/>
        </w:rPr>
        <w:drawing>
          <wp:inline distT="0" distB="0" distL="0" distR="0" wp14:anchorId="2E7815AF" wp14:editId="14B210E8">
            <wp:extent cx="4328160" cy="2453640"/>
            <wp:effectExtent l="0" t="0" r="0" b="3810"/>
            <wp:docPr id="1091768592"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28160" cy="2453640"/>
                    </a:xfrm>
                    <a:prstGeom prst="rect">
                      <a:avLst/>
                    </a:prstGeom>
                    <a:noFill/>
                  </pic:spPr>
                </pic:pic>
              </a:graphicData>
            </a:graphic>
          </wp:inline>
        </w:drawing>
      </w:r>
    </w:p>
    <w:p w14:paraId="355D0BD2" w14:textId="77777777" w:rsidR="00DC4811" w:rsidRDefault="00DC4811" w:rsidP="00306937">
      <w:pPr>
        <w:pStyle w:val="Textoindependiente3"/>
        <w:jc w:val="center"/>
        <w:rPr>
          <w:noProof/>
          <w:lang w:val="es-PE"/>
        </w:rPr>
      </w:pPr>
    </w:p>
    <w:p w14:paraId="2F2DB61C" w14:textId="77777777" w:rsidR="0086055B" w:rsidRPr="00F8108A" w:rsidRDefault="00640A1F" w:rsidP="00872E89">
      <w:pPr>
        <w:pStyle w:val="Textoindependiente3"/>
        <w:ind w:left="504"/>
        <w:jc w:val="center"/>
        <w:rPr>
          <w:b/>
          <w:szCs w:val="22"/>
          <w:lang w:val="es-ES"/>
        </w:rPr>
      </w:pPr>
      <w:r w:rsidRPr="00F8108A">
        <w:rPr>
          <w:b/>
          <w:szCs w:val="22"/>
          <w:lang w:val="es-ES"/>
        </w:rPr>
        <w:lastRenderedPageBreak/>
        <w:t>Solicitudes de</w:t>
      </w:r>
      <w:r w:rsidR="003C45D9" w:rsidRPr="00F8108A">
        <w:rPr>
          <w:b/>
          <w:szCs w:val="22"/>
          <w:lang w:val="es-ES"/>
        </w:rPr>
        <w:t xml:space="preserve"> T</w:t>
      </w:r>
      <w:r w:rsidRPr="00F8108A">
        <w:rPr>
          <w:b/>
          <w:szCs w:val="22"/>
          <w:lang w:val="es-ES"/>
        </w:rPr>
        <w:t>rasp</w:t>
      </w:r>
      <w:r w:rsidR="003C45D9" w:rsidRPr="00F8108A">
        <w:rPr>
          <w:b/>
          <w:szCs w:val="22"/>
          <w:lang w:val="es-ES"/>
        </w:rPr>
        <w:t>asos A</w:t>
      </w:r>
      <w:r w:rsidRPr="00F8108A">
        <w:rPr>
          <w:b/>
          <w:szCs w:val="22"/>
          <w:lang w:val="es-ES"/>
        </w:rPr>
        <w:t>ceptadas</w:t>
      </w:r>
      <w:r w:rsidR="009A5264" w:rsidRPr="00F8108A">
        <w:rPr>
          <w:b/>
          <w:szCs w:val="22"/>
          <w:lang w:val="es-ES"/>
        </w:rPr>
        <w:t xml:space="preserve"> por AFP          </w:t>
      </w:r>
      <w:r w:rsidR="008C6931" w:rsidRPr="00F8108A">
        <w:rPr>
          <w:b/>
          <w:szCs w:val="22"/>
          <w:lang w:val="es-ES"/>
        </w:rPr>
        <w:t xml:space="preserve">                                                                 </w:t>
      </w:r>
      <w:r w:rsidR="009A5264" w:rsidRPr="00F8108A">
        <w:rPr>
          <w:b/>
          <w:szCs w:val="22"/>
          <w:lang w:val="es-ES"/>
        </w:rPr>
        <w:t xml:space="preserve">                                   </w:t>
      </w:r>
      <w:r w:rsidR="00D563F7" w:rsidRPr="00F8108A">
        <w:rPr>
          <w:b/>
          <w:szCs w:val="22"/>
          <w:lang w:val="es-ES"/>
        </w:rPr>
        <w:t xml:space="preserve">            </w:t>
      </w:r>
      <w:r w:rsidR="009A5264" w:rsidRPr="00F8108A">
        <w:rPr>
          <w:b/>
          <w:szCs w:val="22"/>
          <w:lang w:val="es-ES"/>
        </w:rPr>
        <w:t xml:space="preserve">  </w:t>
      </w:r>
      <w:r w:rsidR="00DA7AC6" w:rsidRPr="00F8108A">
        <w:rPr>
          <w:b/>
          <w:szCs w:val="22"/>
          <w:lang w:val="es-ES"/>
        </w:rPr>
        <w:t xml:space="preserve">      </w:t>
      </w:r>
      <w:r w:rsidR="001C03DF" w:rsidRPr="00F8108A">
        <w:rPr>
          <w:b/>
          <w:szCs w:val="22"/>
          <w:lang w:val="es-ES"/>
        </w:rPr>
        <w:t xml:space="preserve">    </w:t>
      </w:r>
      <w:r w:rsidR="00B42C9D" w:rsidRPr="00F8108A">
        <w:rPr>
          <w:b/>
          <w:szCs w:val="22"/>
          <w:lang w:val="es-ES"/>
        </w:rPr>
        <w:t xml:space="preserve">             </w:t>
      </w:r>
    </w:p>
    <w:p w14:paraId="5109318A" w14:textId="08D14AEA" w:rsidR="002F1906" w:rsidRPr="001830A9" w:rsidRDefault="002F1906" w:rsidP="001830A9">
      <w:pPr>
        <w:pStyle w:val="Textoindependiente3"/>
        <w:ind w:left="504"/>
        <w:jc w:val="center"/>
        <w:rPr>
          <w:b/>
          <w:szCs w:val="22"/>
          <w:lang w:val="es-ES"/>
        </w:rPr>
      </w:pPr>
      <w:r w:rsidRPr="00F8108A">
        <w:rPr>
          <w:b/>
          <w:szCs w:val="22"/>
          <w:lang w:val="es-ES"/>
        </w:rPr>
        <w:t>(</w:t>
      </w:r>
      <w:r w:rsidR="00D0230A">
        <w:rPr>
          <w:b/>
          <w:szCs w:val="22"/>
          <w:lang w:val="es-ES"/>
        </w:rPr>
        <w:t>abril - junio</w:t>
      </w:r>
      <w:r w:rsidR="00C0778E" w:rsidRPr="00F8108A">
        <w:rPr>
          <w:b/>
          <w:szCs w:val="22"/>
          <w:lang w:val="es-ES"/>
        </w:rPr>
        <w:t xml:space="preserve"> </w:t>
      </w:r>
      <w:r w:rsidR="001011CD">
        <w:rPr>
          <w:b/>
          <w:szCs w:val="22"/>
          <w:lang w:val="es-ES"/>
        </w:rPr>
        <w:t>2026</w:t>
      </w:r>
      <w:r w:rsidRPr="00F8108A">
        <w:rPr>
          <w:b/>
          <w:szCs w:val="22"/>
          <w:lang w:val="es-ES"/>
        </w:rPr>
        <w:t>)</w:t>
      </w:r>
    </w:p>
    <w:p w14:paraId="2427A3A0" w14:textId="2982A220" w:rsidR="007C5402" w:rsidRDefault="00D0230A" w:rsidP="00872E89">
      <w:pPr>
        <w:pStyle w:val="Textoindependiente3"/>
        <w:jc w:val="center"/>
        <w:rPr>
          <w:b/>
          <w:szCs w:val="22"/>
          <w:lang w:val="es-ES"/>
        </w:rPr>
      </w:pPr>
      <w:r>
        <w:rPr>
          <w:b/>
          <w:noProof/>
          <w:szCs w:val="22"/>
          <w:lang w:val="es-ES"/>
        </w:rPr>
        <w:drawing>
          <wp:inline distT="0" distB="0" distL="0" distR="0" wp14:anchorId="5C8A9D10" wp14:editId="4FB3B15B">
            <wp:extent cx="4702629" cy="2579370"/>
            <wp:effectExtent l="0" t="0" r="3175" b="0"/>
            <wp:docPr id="1286268341"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02629" cy="2579370"/>
                    </a:xfrm>
                    <a:prstGeom prst="rect">
                      <a:avLst/>
                    </a:prstGeom>
                    <a:noFill/>
                  </pic:spPr>
                </pic:pic>
              </a:graphicData>
            </a:graphic>
          </wp:inline>
        </w:drawing>
      </w:r>
    </w:p>
    <w:p w14:paraId="47F07562" w14:textId="77777777" w:rsidR="00B24C38" w:rsidRDefault="00B24C38" w:rsidP="00872E89">
      <w:pPr>
        <w:pStyle w:val="Textoindependiente3"/>
        <w:jc w:val="center"/>
        <w:rPr>
          <w:b/>
          <w:szCs w:val="22"/>
          <w:lang w:val="es-ES"/>
        </w:rPr>
      </w:pPr>
    </w:p>
    <w:p w14:paraId="458A483F" w14:textId="3CD90015" w:rsidR="00B24C38" w:rsidRDefault="00B24C38" w:rsidP="00B24C38">
      <w:pPr>
        <w:pStyle w:val="Textoindependiente3"/>
        <w:rPr>
          <w:b/>
          <w:szCs w:val="22"/>
          <w:lang w:val="es-ES"/>
        </w:rPr>
      </w:pPr>
      <w:r>
        <w:rPr>
          <w:b/>
          <w:szCs w:val="22"/>
          <w:lang w:val="es-ES"/>
        </w:rPr>
        <w:t>3. Traspasos Efectivos</w:t>
      </w:r>
    </w:p>
    <w:p w14:paraId="24FFB5B6" w14:textId="77777777" w:rsidR="001830A9" w:rsidRPr="00F8108A" w:rsidRDefault="001830A9" w:rsidP="00872E89">
      <w:pPr>
        <w:pStyle w:val="Textoindependiente3"/>
        <w:jc w:val="center"/>
        <w:rPr>
          <w:b/>
          <w:szCs w:val="22"/>
          <w:lang w:val="es-ES"/>
        </w:rPr>
      </w:pPr>
    </w:p>
    <w:p w14:paraId="439EED2B" w14:textId="42FD5699" w:rsidR="00AB1092" w:rsidRPr="00AB1092" w:rsidRDefault="00AB1092" w:rsidP="00B24C38">
      <w:pPr>
        <w:pStyle w:val="Textoindependiente3"/>
        <w:spacing w:line="276" w:lineRule="auto"/>
        <w:rPr>
          <w:szCs w:val="22"/>
          <w:lang w:val="es-ES"/>
        </w:rPr>
      </w:pPr>
      <w:r w:rsidRPr="00AB1092">
        <w:rPr>
          <w:szCs w:val="22"/>
          <w:lang w:val="es-ES"/>
        </w:rPr>
        <w:t>Durante el segundo trimestre del año, el movimiento de Cuentas Individuales de Capitalización (CIC) por traspasos efectivos fue de S/1 662 millones, monto mayor en 6,4% al registrado durante el trimestre anterior (S/ 1 562 millones) y mayor en 4,3% al registrado en el segundo trimestre del 2025 (S/ 1 593 millones). En términos de montos netos (ingresos menos egresos), solo una de las cuatro administradoras del SPP registró un crecimiento de ingresos como resultado de la dinámica de traspasos.</w:t>
      </w:r>
      <w:r w:rsidRPr="00AB1092">
        <w:rPr>
          <w:szCs w:val="22"/>
          <w:lang w:val="es-ES"/>
        </w:rPr>
        <w:tab/>
      </w:r>
      <w:r w:rsidRPr="00AB1092">
        <w:rPr>
          <w:szCs w:val="22"/>
          <w:lang w:val="es-ES"/>
        </w:rPr>
        <w:tab/>
      </w:r>
      <w:r w:rsidRPr="00AB1092">
        <w:rPr>
          <w:szCs w:val="22"/>
          <w:lang w:val="es-ES"/>
        </w:rPr>
        <w:tab/>
      </w:r>
      <w:r w:rsidRPr="00AB1092">
        <w:rPr>
          <w:szCs w:val="22"/>
          <w:lang w:val="es-ES"/>
        </w:rPr>
        <w:tab/>
      </w:r>
    </w:p>
    <w:p w14:paraId="07DF4803" w14:textId="544B5696" w:rsidR="0015573B" w:rsidRPr="006D5EAC" w:rsidRDefault="00AB1092" w:rsidP="00AB1092">
      <w:pPr>
        <w:pStyle w:val="Textoindependiente3"/>
        <w:rPr>
          <w:szCs w:val="22"/>
          <w:lang w:val="es-ES"/>
        </w:rPr>
      </w:pPr>
      <w:r w:rsidRPr="00AB1092">
        <w:rPr>
          <w:szCs w:val="22"/>
          <w:lang w:val="es-ES"/>
        </w:rPr>
        <w:tab/>
      </w:r>
      <w:r w:rsidRPr="00AB1092">
        <w:rPr>
          <w:szCs w:val="22"/>
          <w:lang w:val="es-ES"/>
        </w:rPr>
        <w:tab/>
      </w:r>
      <w:r w:rsidRPr="00AB1092">
        <w:rPr>
          <w:szCs w:val="22"/>
          <w:lang w:val="es-ES"/>
        </w:rPr>
        <w:tab/>
      </w:r>
      <w:r w:rsidRPr="00AB1092">
        <w:rPr>
          <w:szCs w:val="22"/>
          <w:lang w:val="es-ES"/>
        </w:rPr>
        <w:tab/>
      </w:r>
      <w:r w:rsidRPr="00AB1092">
        <w:rPr>
          <w:szCs w:val="22"/>
          <w:lang w:val="es-ES"/>
        </w:rPr>
        <w:tab/>
      </w:r>
      <w:r w:rsidR="00A35EA5" w:rsidRPr="00A35EA5">
        <w:rPr>
          <w:szCs w:val="22"/>
          <w:lang w:val="es-ES"/>
        </w:rPr>
        <w:tab/>
      </w:r>
      <w:r w:rsidR="003720EC" w:rsidRPr="003720EC">
        <w:rPr>
          <w:szCs w:val="22"/>
          <w:lang w:val="es-ES"/>
        </w:rPr>
        <w:tab/>
      </w:r>
      <w:r w:rsidR="003720EC" w:rsidRPr="003720EC">
        <w:rPr>
          <w:szCs w:val="22"/>
          <w:lang w:val="es-ES"/>
        </w:rPr>
        <w:tab/>
      </w:r>
      <w:r w:rsidR="003720EC" w:rsidRPr="003720EC">
        <w:rPr>
          <w:szCs w:val="22"/>
          <w:lang w:val="es-ES"/>
        </w:rPr>
        <w:tab/>
      </w:r>
      <w:r w:rsidR="003720EC" w:rsidRPr="003720EC">
        <w:rPr>
          <w:szCs w:val="22"/>
          <w:lang w:val="es-ES"/>
        </w:rPr>
        <w:tab/>
      </w:r>
    </w:p>
    <w:p w14:paraId="40A642E3" w14:textId="177B250D" w:rsidR="00D9129A" w:rsidRPr="00F8108A" w:rsidRDefault="001808BC" w:rsidP="00872E89">
      <w:pPr>
        <w:pStyle w:val="Textoindependiente"/>
        <w:ind w:left="708" w:hanging="708"/>
        <w:jc w:val="center"/>
        <w:rPr>
          <w:szCs w:val="22"/>
        </w:rPr>
      </w:pPr>
      <w:r w:rsidRPr="00F8108A">
        <w:rPr>
          <w:szCs w:val="22"/>
        </w:rPr>
        <w:t xml:space="preserve">      </w:t>
      </w:r>
      <w:r w:rsidR="006F0802" w:rsidRPr="00F8108A">
        <w:rPr>
          <w:szCs w:val="22"/>
        </w:rPr>
        <w:t xml:space="preserve">      </w:t>
      </w:r>
      <w:r w:rsidR="00D9129A" w:rsidRPr="00F8108A">
        <w:rPr>
          <w:szCs w:val="22"/>
        </w:rPr>
        <w:t>Movimiento del Fondo de Pensiones por Traspasos Efectivos</w:t>
      </w:r>
    </w:p>
    <w:p w14:paraId="43BA8E50" w14:textId="1E86A7D7" w:rsidR="004D0BCC" w:rsidRPr="0015573B" w:rsidRDefault="001808BC" w:rsidP="0015573B">
      <w:pPr>
        <w:pStyle w:val="Textoindependiente"/>
        <w:jc w:val="center"/>
        <w:rPr>
          <w:szCs w:val="22"/>
        </w:rPr>
      </w:pPr>
      <w:r w:rsidRPr="00F8108A">
        <w:rPr>
          <w:szCs w:val="22"/>
        </w:rPr>
        <w:t xml:space="preserve">    </w:t>
      </w:r>
      <w:r w:rsidR="006F0802" w:rsidRPr="00F8108A">
        <w:rPr>
          <w:szCs w:val="22"/>
        </w:rPr>
        <w:t xml:space="preserve">   </w:t>
      </w:r>
      <w:r w:rsidRPr="00F8108A">
        <w:rPr>
          <w:szCs w:val="22"/>
        </w:rPr>
        <w:t xml:space="preserve">    </w:t>
      </w:r>
      <w:r w:rsidR="002B7E0D" w:rsidRPr="00F8108A">
        <w:rPr>
          <w:szCs w:val="22"/>
        </w:rPr>
        <w:t>(</w:t>
      </w:r>
      <w:r w:rsidR="00D0230A">
        <w:rPr>
          <w:bCs w:val="0"/>
          <w:szCs w:val="22"/>
        </w:rPr>
        <w:t>abril - junio</w:t>
      </w:r>
      <w:r w:rsidR="00541325" w:rsidRPr="00541325">
        <w:rPr>
          <w:bCs w:val="0"/>
          <w:szCs w:val="22"/>
        </w:rPr>
        <w:t xml:space="preserve"> </w:t>
      </w:r>
      <w:r w:rsidR="001011CD">
        <w:rPr>
          <w:szCs w:val="22"/>
        </w:rPr>
        <w:t>2026</w:t>
      </w:r>
      <w:r w:rsidR="00D614DC" w:rsidRPr="00F8108A">
        <w:rPr>
          <w:szCs w:val="22"/>
        </w:rPr>
        <w:t xml:space="preserve"> / En millones de soles</w:t>
      </w:r>
      <w:r w:rsidR="00D9129A" w:rsidRPr="00F8108A">
        <w:rPr>
          <w:szCs w:val="22"/>
        </w:rPr>
        <w:t>)</w:t>
      </w:r>
    </w:p>
    <w:p w14:paraId="1516CC9A" w14:textId="7A2855EC" w:rsidR="0015573B" w:rsidRPr="0015573B" w:rsidRDefault="00D0230A" w:rsidP="0015573B">
      <w:pPr>
        <w:jc w:val="center"/>
        <w:rPr>
          <w:b/>
          <w:bCs/>
          <w:lang w:val="es-PE"/>
        </w:rPr>
      </w:pPr>
      <w:r>
        <w:rPr>
          <w:b/>
          <w:bCs/>
          <w:noProof/>
          <w:lang w:val="es-PE"/>
        </w:rPr>
        <w:drawing>
          <wp:inline distT="0" distB="0" distL="0" distR="0" wp14:anchorId="57732CE6" wp14:editId="2260D909">
            <wp:extent cx="4368800" cy="2666365"/>
            <wp:effectExtent l="0" t="0" r="0" b="635"/>
            <wp:docPr id="1863454616"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389578" cy="2679046"/>
                    </a:xfrm>
                    <a:prstGeom prst="rect">
                      <a:avLst/>
                    </a:prstGeom>
                    <a:noFill/>
                  </pic:spPr>
                </pic:pic>
              </a:graphicData>
            </a:graphic>
          </wp:inline>
        </w:drawing>
      </w:r>
    </w:p>
    <w:p w14:paraId="7B9C5EDB" w14:textId="77777777" w:rsidR="004D0BCC" w:rsidRDefault="004D0BCC" w:rsidP="00872E89">
      <w:pPr>
        <w:jc w:val="center"/>
        <w:rPr>
          <w:b/>
          <w:bCs/>
        </w:rPr>
      </w:pPr>
    </w:p>
    <w:p w14:paraId="0C561F22" w14:textId="5698EE9F" w:rsidR="005B792D" w:rsidRPr="00F8108A" w:rsidRDefault="00B24C38" w:rsidP="00872E89">
      <w:pPr>
        <w:rPr>
          <w:b/>
          <w:bCs/>
        </w:rPr>
      </w:pPr>
      <w:r>
        <w:rPr>
          <w:b/>
          <w:bCs/>
        </w:rPr>
        <w:t>4</w:t>
      </w:r>
      <w:r w:rsidR="00D9129A" w:rsidRPr="00F8108A">
        <w:rPr>
          <w:b/>
          <w:bCs/>
        </w:rPr>
        <w:t xml:space="preserve">.  </w:t>
      </w:r>
      <w:r w:rsidR="008D7BD6" w:rsidRPr="00F8108A">
        <w:rPr>
          <w:b/>
          <w:bCs/>
        </w:rPr>
        <w:t>A</w:t>
      </w:r>
      <w:r w:rsidR="00D9129A" w:rsidRPr="00F8108A">
        <w:rPr>
          <w:b/>
          <w:bCs/>
        </w:rPr>
        <w:t>portes</w:t>
      </w:r>
      <w:r w:rsidR="00BE051C">
        <w:rPr>
          <w:b/>
          <w:bCs/>
        </w:rPr>
        <w:t xml:space="preserve"> </w:t>
      </w:r>
      <w:r w:rsidR="00D9129A" w:rsidRPr="00F8108A">
        <w:rPr>
          <w:b/>
          <w:bCs/>
        </w:rPr>
        <w:t>y Cotizantes</w:t>
      </w:r>
      <w:r w:rsidR="00BE051C">
        <w:rPr>
          <w:rStyle w:val="Refdenotaalpie"/>
          <w:b/>
          <w:bCs/>
        </w:rPr>
        <w:footnoteReference w:id="1"/>
      </w:r>
    </w:p>
    <w:p w14:paraId="5EF51B1D" w14:textId="5C0AE95B" w:rsidR="005B792D" w:rsidRPr="00F8108A" w:rsidRDefault="005B792D" w:rsidP="00872E89">
      <w:pPr>
        <w:rPr>
          <w:b/>
          <w:bCs/>
          <w:sz w:val="18"/>
        </w:rPr>
      </w:pPr>
    </w:p>
    <w:p w14:paraId="468D3242" w14:textId="1F6FA3C8" w:rsidR="00BE051C" w:rsidRDefault="00D61EF1" w:rsidP="00B24C38">
      <w:pPr>
        <w:spacing w:line="276" w:lineRule="auto"/>
        <w:jc w:val="both"/>
        <w:rPr>
          <w:rFonts w:cs="Calibri"/>
          <w:color w:val="000000"/>
          <w:szCs w:val="20"/>
          <w:lang w:val="es-PE" w:eastAsia="es-PE"/>
        </w:rPr>
      </w:pPr>
      <w:r w:rsidRPr="00D61EF1">
        <w:rPr>
          <w:rFonts w:cs="Calibri"/>
          <w:color w:val="000000"/>
          <w:szCs w:val="20"/>
          <w:lang w:val="es-PE" w:eastAsia="es-PE"/>
        </w:rPr>
        <w:t>El número de cotizantes a febrero de 2026</w:t>
      </w:r>
      <w:r w:rsidR="00BE051C">
        <w:rPr>
          <w:rFonts w:cs="Calibri"/>
          <w:color w:val="000000"/>
          <w:szCs w:val="20"/>
          <w:vertAlign w:val="superscript"/>
          <w:lang w:val="es-PE" w:eastAsia="es-PE"/>
        </w:rPr>
        <w:t xml:space="preserve"> </w:t>
      </w:r>
      <w:r w:rsidRPr="00D61EF1">
        <w:rPr>
          <w:rFonts w:cs="Calibri"/>
          <w:color w:val="000000"/>
          <w:szCs w:val="20"/>
          <w:lang w:val="es-PE" w:eastAsia="es-PE"/>
        </w:rPr>
        <w:t xml:space="preserve">alcanzó la cifra de 4 279 243 personas, cifra superior en 8,16% con respecto al número de cotizantes registrados a febrero de 2025. No obstante, el índice de cotización de febrero de 2026 alcanzó el 41,19% cifra superior en 1,18 puntos porcentuales a la registrada en febrero de </w:t>
      </w:r>
      <w:r w:rsidRPr="00D61EF1">
        <w:rPr>
          <w:rFonts w:cs="Calibri"/>
          <w:color w:val="000000"/>
          <w:szCs w:val="20"/>
          <w:lang w:val="es-PE" w:eastAsia="es-PE"/>
        </w:rPr>
        <w:lastRenderedPageBreak/>
        <w:t>2025 (40,01%). Mientras que el índice de cotización ajustado fue 52,69%, cifra superior en 0,83 p.p. con respecto a febrero de 2025 (51,86%).</w:t>
      </w:r>
      <w:r w:rsidRPr="00D61EF1">
        <w:rPr>
          <w:rFonts w:cs="Calibri"/>
          <w:color w:val="000000"/>
          <w:szCs w:val="20"/>
          <w:lang w:val="es-PE" w:eastAsia="es-PE"/>
        </w:rPr>
        <w:tab/>
      </w:r>
      <w:r w:rsidRPr="00D61EF1">
        <w:rPr>
          <w:rFonts w:cs="Calibri"/>
          <w:color w:val="000000"/>
          <w:szCs w:val="20"/>
          <w:lang w:val="es-PE" w:eastAsia="es-PE"/>
        </w:rPr>
        <w:tab/>
      </w:r>
    </w:p>
    <w:p w14:paraId="57CD506C" w14:textId="4AB23275" w:rsidR="00B665D1" w:rsidRPr="00B24C38" w:rsidRDefault="00D61EF1" w:rsidP="00B665D1">
      <w:pPr>
        <w:jc w:val="both"/>
        <w:rPr>
          <w:rFonts w:cs="Calibri"/>
          <w:color w:val="000000"/>
          <w:szCs w:val="20"/>
          <w:lang w:val="es-PE" w:eastAsia="es-PE"/>
        </w:rPr>
      </w:pPr>
      <w:r w:rsidRPr="00D61EF1">
        <w:rPr>
          <w:rFonts w:cs="Calibri"/>
          <w:color w:val="000000"/>
          <w:szCs w:val="20"/>
          <w:lang w:val="es-PE" w:eastAsia="es-PE"/>
        </w:rPr>
        <w:tab/>
      </w:r>
      <w:r w:rsidRPr="00D61EF1">
        <w:rPr>
          <w:rFonts w:cs="Calibri"/>
          <w:color w:val="000000"/>
          <w:szCs w:val="20"/>
          <w:lang w:val="es-PE" w:eastAsia="es-PE"/>
        </w:rPr>
        <w:tab/>
      </w:r>
      <w:r w:rsidRPr="00D61EF1">
        <w:rPr>
          <w:rFonts w:cs="Calibri"/>
          <w:color w:val="000000"/>
          <w:szCs w:val="20"/>
          <w:lang w:val="es-PE" w:eastAsia="es-PE"/>
        </w:rPr>
        <w:tab/>
      </w:r>
      <w:r w:rsidR="00A04E55" w:rsidRPr="00A04E55">
        <w:rPr>
          <w:rFonts w:cs="Calibri"/>
          <w:color w:val="000000"/>
          <w:szCs w:val="20"/>
          <w:lang w:val="es-PE" w:eastAsia="es-PE"/>
        </w:rPr>
        <w:tab/>
      </w:r>
      <w:r w:rsidR="00A04E55" w:rsidRPr="00A04E55">
        <w:rPr>
          <w:rFonts w:cs="Calibri"/>
          <w:color w:val="000000"/>
          <w:szCs w:val="20"/>
          <w:lang w:val="es-PE" w:eastAsia="es-PE"/>
        </w:rPr>
        <w:tab/>
      </w:r>
      <w:r w:rsidR="00A04E55" w:rsidRPr="00A04E55">
        <w:rPr>
          <w:rFonts w:cs="Calibri"/>
          <w:color w:val="000000"/>
          <w:szCs w:val="20"/>
          <w:lang w:val="es-PE" w:eastAsia="es-PE"/>
        </w:rPr>
        <w:tab/>
      </w:r>
      <w:r w:rsidR="00A04E55" w:rsidRPr="00A04E55">
        <w:rPr>
          <w:rFonts w:cs="Calibri"/>
          <w:color w:val="000000"/>
          <w:szCs w:val="20"/>
          <w:lang w:val="es-PE" w:eastAsia="es-PE"/>
        </w:rPr>
        <w:tab/>
      </w:r>
    </w:p>
    <w:p w14:paraId="7C1E177A" w14:textId="18EF0C96" w:rsidR="00BA45D7" w:rsidRPr="00A22EC6" w:rsidRDefault="005123A8" w:rsidP="001A5AD0">
      <w:pPr>
        <w:jc w:val="both"/>
        <w:rPr>
          <w:sz w:val="28"/>
          <w:szCs w:val="32"/>
        </w:rPr>
      </w:pPr>
      <w:r w:rsidRPr="00A22EC6">
        <w:rPr>
          <w:b/>
          <w:szCs w:val="32"/>
        </w:rPr>
        <w:t xml:space="preserve">                       Número de Cotizantes</w:t>
      </w:r>
      <w:r w:rsidR="002B33F5" w:rsidRPr="00A22EC6">
        <w:rPr>
          <w:sz w:val="28"/>
          <w:szCs w:val="32"/>
        </w:rPr>
        <w:t xml:space="preserve"> </w:t>
      </w:r>
      <w:r w:rsidRPr="00A22EC6">
        <w:rPr>
          <w:sz w:val="28"/>
          <w:szCs w:val="32"/>
        </w:rPr>
        <w:t xml:space="preserve">                       </w:t>
      </w:r>
      <w:r w:rsidR="00502B60" w:rsidRPr="00A22EC6">
        <w:rPr>
          <w:sz w:val="28"/>
          <w:szCs w:val="32"/>
        </w:rPr>
        <w:t xml:space="preserve">           </w:t>
      </w:r>
      <w:r w:rsidR="00A22EC6">
        <w:rPr>
          <w:sz w:val="28"/>
          <w:szCs w:val="32"/>
        </w:rPr>
        <w:t xml:space="preserve"> </w:t>
      </w:r>
      <w:r w:rsidR="00502B60" w:rsidRPr="00A22EC6">
        <w:rPr>
          <w:sz w:val="28"/>
          <w:szCs w:val="32"/>
        </w:rPr>
        <w:t xml:space="preserve">  </w:t>
      </w:r>
      <w:r w:rsidRPr="00A22EC6">
        <w:rPr>
          <w:sz w:val="28"/>
          <w:szCs w:val="32"/>
        </w:rPr>
        <w:t xml:space="preserve"> </w:t>
      </w:r>
      <w:r w:rsidRPr="00A22EC6">
        <w:rPr>
          <w:b/>
          <w:szCs w:val="32"/>
        </w:rPr>
        <w:t>Índices de Cotización</w:t>
      </w:r>
    </w:p>
    <w:p w14:paraId="2676DA94" w14:textId="2A595369" w:rsidR="00E04B19" w:rsidRDefault="005123A8" w:rsidP="00872E89">
      <w:pPr>
        <w:pStyle w:val="Textoindependiente3"/>
        <w:autoSpaceDE w:val="0"/>
        <w:autoSpaceDN w:val="0"/>
        <w:adjustRightInd w:val="0"/>
        <w:rPr>
          <w:sz w:val="28"/>
          <w:szCs w:val="32"/>
          <w:lang w:val="es-ES"/>
        </w:rPr>
      </w:pPr>
      <w:r w:rsidRPr="00A22EC6">
        <w:rPr>
          <w:b/>
          <w:szCs w:val="32"/>
          <w:lang w:val="es-ES"/>
        </w:rPr>
        <w:t xml:space="preserve">                               (</w:t>
      </w:r>
      <w:proofErr w:type="gramStart"/>
      <w:r w:rsidRPr="00A22EC6">
        <w:rPr>
          <w:b/>
          <w:szCs w:val="32"/>
          <w:lang w:val="es-ES"/>
        </w:rPr>
        <w:t xml:space="preserve">unidades)   </w:t>
      </w:r>
      <w:proofErr w:type="gramEnd"/>
      <w:r w:rsidRPr="00A22EC6">
        <w:rPr>
          <w:b/>
          <w:szCs w:val="32"/>
          <w:lang w:val="es-ES"/>
        </w:rPr>
        <w:t xml:space="preserve">                                                  </w:t>
      </w:r>
      <w:r w:rsidR="00C96BB7" w:rsidRPr="00A22EC6">
        <w:rPr>
          <w:b/>
          <w:szCs w:val="32"/>
          <w:lang w:val="es-ES"/>
        </w:rPr>
        <w:t xml:space="preserve">          </w:t>
      </w:r>
      <w:proofErr w:type="gramStart"/>
      <w:r w:rsidR="00C96BB7" w:rsidRPr="00A22EC6">
        <w:rPr>
          <w:b/>
          <w:szCs w:val="32"/>
          <w:lang w:val="es-ES"/>
        </w:rPr>
        <w:t xml:space="preserve">   </w:t>
      </w:r>
      <w:r w:rsidRPr="00A22EC6">
        <w:rPr>
          <w:b/>
          <w:szCs w:val="32"/>
          <w:lang w:val="es-ES"/>
        </w:rPr>
        <w:t>(</w:t>
      </w:r>
      <w:proofErr w:type="gramEnd"/>
      <w:r w:rsidRPr="00A22EC6">
        <w:rPr>
          <w:b/>
          <w:szCs w:val="32"/>
          <w:lang w:val="es-ES"/>
        </w:rPr>
        <w:t>En porcentaje)</w:t>
      </w:r>
      <w:r w:rsidR="00C96BB7" w:rsidRPr="00A22EC6">
        <w:rPr>
          <w:sz w:val="28"/>
          <w:szCs w:val="32"/>
          <w:lang w:val="es-ES"/>
        </w:rPr>
        <w:t xml:space="preserve"> </w:t>
      </w:r>
    </w:p>
    <w:p w14:paraId="14FB3861" w14:textId="073060E1" w:rsidR="00C24F70" w:rsidRPr="00C24F70" w:rsidRDefault="00C24F70" w:rsidP="00872E89">
      <w:pPr>
        <w:pStyle w:val="Textoindependiente3"/>
        <w:autoSpaceDE w:val="0"/>
        <w:autoSpaceDN w:val="0"/>
        <w:adjustRightInd w:val="0"/>
        <w:rPr>
          <w:sz w:val="6"/>
          <w:szCs w:val="8"/>
          <w:lang w:val="es-ES"/>
        </w:rPr>
      </w:pPr>
    </w:p>
    <w:p w14:paraId="2F2A5975" w14:textId="2FEC125B" w:rsidR="00ED4602" w:rsidRDefault="00C24F70" w:rsidP="00693E0A">
      <w:pPr>
        <w:pStyle w:val="Textoindependiente3"/>
        <w:autoSpaceDE w:val="0"/>
        <w:autoSpaceDN w:val="0"/>
        <w:adjustRightInd w:val="0"/>
        <w:rPr>
          <w:rFonts w:cs="Calibri"/>
          <w:color w:val="000000"/>
          <w:szCs w:val="22"/>
          <w:lang w:val="es-PE" w:eastAsia="es-PE"/>
        </w:rPr>
      </w:pPr>
      <w:r>
        <w:rPr>
          <w:noProof/>
        </w:rPr>
        <w:t xml:space="preserve">   </w:t>
      </w:r>
      <w:r w:rsidR="00F631E9">
        <w:rPr>
          <w:noProof/>
        </w:rPr>
        <w:drawing>
          <wp:inline distT="0" distB="0" distL="0" distR="0" wp14:anchorId="64BA1511" wp14:editId="2EFE891F">
            <wp:extent cx="2597150" cy="1885950"/>
            <wp:effectExtent l="0" t="0" r="0" b="0"/>
            <wp:docPr id="861599328"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t="4082"/>
                    <a:stretch>
                      <a:fillRect/>
                    </a:stretch>
                  </pic:blipFill>
                  <pic:spPr bwMode="auto">
                    <a:xfrm>
                      <a:off x="0" y="0"/>
                      <a:ext cx="2597150" cy="1885950"/>
                    </a:xfrm>
                    <a:prstGeom prst="rect">
                      <a:avLst/>
                    </a:prstGeom>
                    <a:noFill/>
                    <a:ln>
                      <a:noFill/>
                    </a:ln>
                    <a:extLst>
                      <a:ext uri="{53640926-AAD7-44D8-BBD7-CCE9431645EC}">
                        <a14:shadowObscured xmlns:a14="http://schemas.microsoft.com/office/drawing/2010/main"/>
                      </a:ext>
                    </a:extLst>
                  </pic:spPr>
                </pic:pic>
              </a:graphicData>
            </a:graphic>
          </wp:inline>
        </w:drawing>
      </w:r>
      <w:r w:rsidR="00A75CFE">
        <w:rPr>
          <w:noProof/>
        </w:rPr>
        <w:t xml:space="preserve"> </w:t>
      </w:r>
      <w:r w:rsidR="00F631E9">
        <w:rPr>
          <w:noProof/>
        </w:rPr>
        <w:t xml:space="preserve"> </w:t>
      </w:r>
      <w:r w:rsidR="00F631E9">
        <w:rPr>
          <w:noProof/>
        </w:rPr>
        <w:drawing>
          <wp:inline distT="0" distB="0" distL="0" distR="0" wp14:anchorId="587C68CE" wp14:editId="23CA9D3A">
            <wp:extent cx="2711450" cy="1847850"/>
            <wp:effectExtent l="0" t="0" r="0" b="0"/>
            <wp:docPr id="907476856"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t="4844"/>
                    <a:stretch>
                      <a:fillRect/>
                    </a:stretch>
                  </pic:blipFill>
                  <pic:spPr bwMode="auto">
                    <a:xfrm>
                      <a:off x="0" y="0"/>
                      <a:ext cx="2711450" cy="1847850"/>
                    </a:xfrm>
                    <a:prstGeom prst="rect">
                      <a:avLst/>
                    </a:prstGeom>
                    <a:noFill/>
                    <a:ln>
                      <a:noFill/>
                    </a:ln>
                    <a:extLst>
                      <a:ext uri="{53640926-AAD7-44D8-BBD7-CCE9431645EC}">
                        <a14:shadowObscured xmlns:a14="http://schemas.microsoft.com/office/drawing/2010/main"/>
                      </a:ext>
                    </a:extLst>
                  </pic:spPr>
                </pic:pic>
              </a:graphicData>
            </a:graphic>
          </wp:inline>
        </w:drawing>
      </w:r>
    </w:p>
    <w:p w14:paraId="08A26736" w14:textId="77777777" w:rsidR="00D61EF1" w:rsidRDefault="00D61EF1" w:rsidP="00693E0A">
      <w:pPr>
        <w:pStyle w:val="Textoindependiente3"/>
        <w:autoSpaceDE w:val="0"/>
        <w:autoSpaceDN w:val="0"/>
        <w:adjustRightInd w:val="0"/>
        <w:rPr>
          <w:rFonts w:cs="Calibri"/>
          <w:color w:val="000000"/>
          <w:szCs w:val="22"/>
          <w:lang w:val="es-PE" w:eastAsia="es-PE"/>
        </w:rPr>
      </w:pPr>
    </w:p>
    <w:p w14:paraId="3447DDC8" w14:textId="6A23E64D" w:rsidR="00F67141" w:rsidRPr="00F67141" w:rsidRDefault="00697707" w:rsidP="00B24C38">
      <w:pPr>
        <w:pStyle w:val="Textoindependiente3"/>
        <w:autoSpaceDE w:val="0"/>
        <w:autoSpaceDN w:val="0"/>
        <w:adjustRightInd w:val="0"/>
        <w:spacing w:line="276" w:lineRule="auto"/>
        <w:rPr>
          <w:rFonts w:cs="Calibri"/>
          <w:color w:val="000000"/>
          <w:szCs w:val="22"/>
          <w:lang w:val="es-PE" w:eastAsia="es-PE"/>
        </w:rPr>
      </w:pPr>
      <w:r w:rsidRPr="00697707">
        <w:rPr>
          <w:rFonts w:cs="Calibri"/>
          <w:color w:val="000000"/>
          <w:szCs w:val="22"/>
          <w:lang w:val="es-PE" w:eastAsia="es-PE"/>
        </w:rPr>
        <w:t xml:space="preserve">En cuanto a la recaudación de aportes, esta aumentó a S/ 4 925 millones en el segundo trimestre de 2026 registrando así un aumento de 13,3% </w:t>
      </w:r>
      <w:proofErr w:type="gramStart"/>
      <w:r w:rsidRPr="00697707">
        <w:rPr>
          <w:rFonts w:cs="Calibri"/>
          <w:color w:val="000000"/>
          <w:szCs w:val="22"/>
          <w:lang w:val="es-PE" w:eastAsia="es-PE"/>
        </w:rPr>
        <w:t>en relación a</w:t>
      </w:r>
      <w:proofErr w:type="gramEnd"/>
      <w:r w:rsidRPr="00697707">
        <w:rPr>
          <w:rFonts w:cs="Calibri"/>
          <w:color w:val="000000"/>
          <w:szCs w:val="22"/>
          <w:lang w:val="es-PE" w:eastAsia="es-PE"/>
        </w:rPr>
        <w:t xml:space="preserve"> la registrada en el segundo trimestre de 2025 (S/ 4 348 millones). </w:t>
      </w:r>
      <w:r w:rsidR="00F67141" w:rsidRPr="00F67141">
        <w:rPr>
          <w:rFonts w:cs="Calibri"/>
          <w:color w:val="000000"/>
          <w:szCs w:val="22"/>
          <w:lang w:val="es-PE" w:eastAsia="es-PE"/>
        </w:rPr>
        <w:t xml:space="preserve">Cabe señalar que </w:t>
      </w:r>
      <w:r w:rsidR="009E62FF">
        <w:rPr>
          <w:rFonts w:cs="Calibri"/>
          <w:color w:val="000000"/>
          <w:szCs w:val="22"/>
          <w:lang w:val="es-PE" w:eastAsia="es-PE"/>
        </w:rPr>
        <w:t xml:space="preserve">tres de </w:t>
      </w:r>
      <w:r w:rsidR="00F67141" w:rsidRPr="00F67141">
        <w:rPr>
          <w:rFonts w:cs="Calibri"/>
          <w:color w:val="000000"/>
          <w:szCs w:val="22"/>
          <w:lang w:val="es-PE" w:eastAsia="es-PE"/>
        </w:rPr>
        <w:t xml:space="preserve">las cuatro </w:t>
      </w:r>
      <w:proofErr w:type="spellStart"/>
      <w:r w:rsidR="00F67141" w:rsidRPr="00F67141">
        <w:rPr>
          <w:rFonts w:cs="Calibri"/>
          <w:color w:val="000000"/>
          <w:szCs w:val="22"/>
          <w:lang w:val="es-PE" w:eastAsia="es-PE"/>
        </w:rPr>
        <w:t>AFP's</w:t>
      </w:r>
      <w:proofErr w:type="spellEnd"/>
      <w:r w:rsidR="00F67141" w:rsidRPr="00F67141">
        <w:rPr>
          <w:rFonts w:cs="Calibri"/>
          <w:color w:val="000000"/>
          <w:szCs w:val="22"/>
          <w:lang w:val="es-PE" w:eastAsia="es-PE"/>
        </w:rPr>
        <w:t xml:space="preserve"> registraron un incremento en su recaudación con respecto al año previo.</w:t>
      </w:r>
      <w:r w:rsidR="00F67141" w:rsidRPr="00F67141">
        <w:rPr>
          <w:rFonts w:cs="Calibri"/>
          <w:color w:val="000000"/>
          <w:szCs w:val="22"/>
          <w:lang w:val="es-PE" w:eastAsia="es-PE"/>
        </w:rPr>
        <w:tab/>
      </w:r>
      <w:r w:rsidR="00F67141" w:rsidRPr="00F67141">
        <w:rPr>
          <w:rFonts w:cs="Calibri"/>
          <w:color w:val="000000"/>
          <w:szCs w:val="22"/>
          <w:lang w:val="es-PE" w:eastAsia="es-PE"/>
        </w:rPr>
        <w:tab/>
      </w:r>
      <w:r w:rsidR="00F67141" w:rsidRPr="00F67141">
        <w:rPr>
          <w:rFonts w:cs="Calibri"/>
          <w:color w:val="000000"/>
          <w:szCs w:val="22"/>
          <w:lang w:val="es-PE" w:eastAsia="es-PE"/>
        </w:rPr>
        <w:tab/>
      </w:r>
      <w:r w:rsidR="00F67141" w:rsidRPr="00F67141">
        <w:rPr>
          <w:rFonts w:cs="Calibri"/>
          <w:color w:val="000000"/>
          <w:szCs w:val="22"/>
          <w:lang w:val="es-PE" w:eastAsia="es-PE"/>
        </w:rPr>
        <w:tab/>
      </w:r>
      <w:r w:rsidR="00F67141" w:rsidRPr="00F67141">
        <w:rPr>
          <w:rFonts w:cs="Calibri"/>
          <w:color w:val="000000"/>
          <w:szCs w:val="22"/>
          <w:lang w:val="es-PE" w:eastAsia="es-PE"/>
        </w:rPr>
        <w:tab/>
      </w:r>
      <w:r w:rsidR="00F67141" w:rsidRPr="00F67141">
        <w:rPr>
          <w:rFonts w:cs="Calibri"/>
          <w:color w:val="000000"/>
          <w:szCs w:val="22"/>
          <w:lang w:val="es-PE" w:eastAsia="es-PE"/>
        </w:rPr>
        <w:tab/>
      </w:r>
    </w:p>
    <w:p w14:paraId="52ADF282" w14:textId="3BD8755B" w:rsidR="00693E0A" w:rsidRPr="00693E0A" w:rsidRDefault="008111B4" w:rsidP="00B24C38">
      <w:pPr>
        <w:pStyle w:val="Textoindependiente3"/>
        <w:autoSpaceDE w:val="0"/>
        <w:autoSpaceDN w:val="0"/>
        <w:adjustRightInd w:val="0"/>
        <w:spacing w:line="276" w:lineRule="auto"/>
        <w:rPr>
          <w:rFonts w:cs="Calibri"/>
          <w:color w:val="000000"/>
          <w:szCs w:val="22"/>
          <w:lang w:val="es-PE" w:eastAsia="es-PE"/>
        </w:rPr>
      </w:pPr>
      <w:r w:rsidRPr="008111B4">
        <w:rPr>
          <w:rFonts w:cs="Calibri"/>
          <w:color w:val="000000"/>
          <w:szCs w:val="22"/>
          <w:lang w:val="es-PE" w:eastAsia="es-PE"/>
        </w:rPr>
        <w:tab/>
      </w:r>
      <w:r w:rsidR="00DE306E" w:rsidRPr="00DE306E">
        <w:rPr>
          <w:rFonts w:cs="Calibri"/>
          <w:color w:val="000000"/>
          <w:szCs w:val="22"/>
          <w:lang w:val="es-PE" w:eastAsia="es-PE"/>
        </w:rPr>
        <w:tab/>
      </w:r>
      <w:r w:rsidR="00D46D5D" w:rsidRPr="00D46D5D">
        <w:rPr>
          <w:rFonts w:cs="Calibri"/>
          <w:color w:val="000000"/>
          <w:szCs w:val="22"/>
          <w:lang w:val="es-PE" w:eastAsia="es-PE"/>
        </w:rPr>
        <w:tab/>
      </w:r>
      <w:r w:rsidR="00D46D5D" w:rsidRPr="00D46D5D">
        <w:rPr>
          <w:rFonts w:cs="Calibri"/>
          <w:color w:val="000000"/>
          <w:szCs w:val="22"/>
          <w:lang w:val="es-PE" w:eastAsia="es-PE"/>
        </w:rPr>
        <w:tab/>
      </w:r>
      <w:r w:rsidR="00D46D5D" w:rsidRPr="00D46D5D">
        <w:rPr>
          <w:rFonts w:cs="Calibri"/>
          <w:color w:val="000000"/>
          <w:szCs w:val="22"/>
          <w:lang w:val="es-PE" w:eastAsia="es-PE"/>
        </w:rPr>
        <w:tab/>
      </w:r>
      <w:r w:rsidR="00D46D5D" w:rsidRPr="00D46D5D">
        <w:rPr>
          <w:rFonts w:cs="Calibri"/>
          <w:color w:val="000000"/>
          <w:szCs w:val="22"/>
          <w:lang w:val="es-PE" w:eastAsia="es-PE"/>
        </w:rPr>
        <w:tab/>
      </w:r>
      <w:r w:rsidR="00693E0A" w:rsidRPr="00693E0A">
        <w:rPr>
          <w:rFonts w:cs="Calibri"/>
          <w:color w:val="000000"/>
          <w:szCs w:val="22"/>
          <w:lang w:val="es-PE" w:eastAsia="es-PE"/>
        </w:rPr>
        <w:tab/>
      </w:r>
      <w:r w:rsidR="00693E0A" w:rsidRPr="00693E0A">
        <w:rPr>
          <w:rFonts w:cs="Calibri"/>
          <w:color w:val="000000"/>
          <w:szCs w:val="22"/>
          <w:lang w:val="es-PE" w:eastAsia="es-PE"/>
        </w:rPr>
        <w:tab/>
      </w:r>
    </w:p>
    <w:p w14:paraId="11010567" w14:textId="60205191" w:rsidR="00D83F66" w:rsidRPr="00F8108A" w:rsidRDefault="0082271C" w:rsidP="00872E89">
      <w:pPr>
        <w:pStyle w:val="Textoindependiente"/>
        <w:tabs>
          <w:tab w:val="left" w:pos="5103"/>
        </w:tabs>
        <w:autoSpaceDE w:val="0"/>
        <w:autoSpaceDN w:val="0"/>
        <w:adjustRightInd w:val="0"/>
        <w:rPr>
          <w:bCs w:val="0"/>
          <w:sz w:val="20"/>
        </w:rPr>
      </w:pPr>
      <w:r w:rsidRPr="00F8108A">
        <w:rPr>
          <w:bCs w:val="0"/>
          <w:sz w:val="20"/>
        </w:rPr>
        <w:t xml:space="preserve">                               </w:t>
      </w:r>
      <w:r w:rsidR="009E677B" w:rsidRPr="00F8108A">
        <w:rPr>
          <w:bCs w:val="0"/>
          <w:sz w:val="20"/>
        </w:rPr>
        <w:t xml:space="preserve">      </w:t>
      </w:r>
      <w:r w:rsidR="00F662FD" w:rsidRPr="00F8108A">
        <w:rPr>
          <w:bCs w:val="0"/>
          <w:sz w:val="20"/>
        </w:rPr>
        <w:t xml:space="preserve"> </w:t>
      </w:r>
      <w:r w:rsidR="009E677B" w:rsidRPr="00F8108A">
        <w:rPr>
          <w:bCs w:val="0"/>
          <w:sz w:val="20"/>
        </w:rPr>
        <w:t xml:space="preserve"> </w:t>
      </w:r>
      <w:r w:rsidR="00D83F66" w:rsidRPr="00F8108A">
        <w:rPr>
          <w:bCs w:val="0"/>
          <w:sz w:val="20"/>
        </w:rPr>
        <w:t xml:space="preserve">Aportes al </w:t>
      </w:r>
      <w:proofErr w:type="gramStart"/>
      <w:r w:rsidR="00D83F66" w:rsidRPr="00F8108A">
        <w:rPr>
          <w:bCs w:val="0"/>
          <w:sz w:val="20"/>
        </w:rPr>
        <w:t xml:space="preserve">SPP  </w:t>
      </w:r>
      <w:r w:rsidR="00D83F66" w:rsidRPr="00F8108A">
        <w:rPr>
          <w:bCs w:val="0"/>
          <w:sz w:val="20"/>
        </w:rPr>
        <w:tab/>
      </w:r>
      <w:proofErr w:type="gramEnd"/>
      <w:r w:rsidR="00D83F66" w:rsidRPr="00F8108A">
        <w:rPr>
          <w:bCs w:val="0"/>
          <w:sz w:val="20"/>
        </w:rPr>
        <w:tab/>
      </w:r>
      <w:r w:rsidRPr="00F8108A">
        <w:rPr>
          <w:bCs w:val="0"/>
          <w:sz w:val="20"/>
        </w:rPr>
        <w:t xml:space="preserve">     </w:t>
      </w:r>
      <w:r w:rsidR="00D83F66" w:rsidRPr="00F8108A">
        <w:rPr>
          <w:bCs w:val="0"/>
          <w:sz w:val="20"/>
        </w:rPr>
        <w:t>Aportes por AFP</w:t>
      </w:r>
    </w:p>
    <w:p w14:paraId="70A8C7AA" w14:textId="7F161AF9" w:rsidR="008413D6" w:rsidRPr="00F8108A" w:rsidRDefault="0082271C" w:rsidP="00872E89">
      <w:pPr>
        <w:pStyle w:val="Textoindependiente"/>
        <w:tabs>
          <w:tab w:val="left" w:pos="5103"/>
        </w:tabs>
        <w:autoSpaceDE w:val="0"/>
        <w:autoSpaceDN w:val="0"/>
        <w:adjustRightInd w:val="0"/>
        <w:rPr>
          <w:bCs w:val="0"/>
          <w:sz w:val="20"/>
        </w:rPr>
      </w:pPr>
      <w:r w:rsidRPr="00F8108A">
        <w:rPr>
          <w:bCs w:val="0"/>
          <w:sz w:val="20"/>
        </w:rPr>
        <w:t xml:space="preserve">                         </w:t>
      </w:r>
      <w:r w:rsidR="009E677B" w:rsidRPr="00F8108A">
        <w:rPr>
          <w:bCs w:val="0"/>
          <w:sz w:val="20"/>
        </w:rPr>
        <w:t xml:space="preserve">       </w:t>
      </w:r>
      <w:r w:rsidR="00D83F66" w:rsidRPr="00F8108A">
        <w:rPr>
          <w:bCs w:val="0"/>
          <w:sz w:val="20"/>
        </w:rPr>
        <w:t>(En millones de soles)</w:t>
      </w:r>
      <w:r w:rsidR="00D83F66" w:rsidRPr="00F8108A">
        <w:rPr>
          <w:bCs w:val="0"/>
          <w:sz w:val="20"/>
        </w:rPr>
        <w:tab/>
      </w:r>
      <w:r w:rsidR="00D83F66" w:rsidRPr="00F8108A">
        <w:rPr>
          <w:bCs w:val="0"/>
          <w:sz w:val="20"/>
        </w:rPr>
        <w:tab/>
      </w:r>
      <w:r w:rsidRPr="00F8108A">
        <w:rPr>
          <w:bCs w:val="0"/>
          <w:sz w:val="20"/>
        </w:rPr>
        <w:t>(</w:t>
      </w:r>
      <w:r w:rsidR="00D83F66" w:rsidRPr="00F8108A">
        <w:rPr>
          <w:bCs w:val="0"/>
          <w:sz w:val="20"/>
        </w:rPr>
        <w:t>En millones de soles)</w:t>
      </w:r>
    </w:p>
    <w:p w14:paraId="2CDF54A3" w14:textId="59D1F8DA" w:rsidR="00C05592" w:rsidRDefault="00F631E9" w:rsidP="00872E89">
      <w:pPr>
        <w:jc w:val="both"/>
        <w:rPr>
          <w:b/>
        </w:rPr>
      </w:pPr>
      <w:r>
        <w:rPr>
          <w:b/>
          <w:noProof/>
        </w:rPr>
        <w:drawing>
          <wp:inline distT="0" distB="0" distL="0" distR="0" wp14:anchorId="05B474FA" wp14:editId="5960F62E">
            <wp:extent cx="2712720" cy="2164080"/>
            <wp:effectExtent l="0" t="0" r="0" b="7620"/>
            <wp:docPr id="1943758512"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12720" cy="2164080"/>
                    </a:xfrm>
                    <a:prstGeom prst="rect">
                      <a:avLst/>
                    </a:prstGeom>
                    <a:noFill/>
                  </pic:spPr>
                </pic:pic>
              </a:graphicData>
            </a:graphic>
          </wp:inline>
        </w:drawing>
      </w:r>
      <w:r w:rsidR="00697707">
        <w:rPr>
          <w:b/>
          <w:noProof/>
        </w:rPr>
        <w:t xml:space="preserve">  </w:t>
      </w:r>
      <w:r>
        <w:rPr>
          <w:b/>
          <w:noProof/>
        </w:rPr>
        <w:drawing>
          <wp:inline distT="0" distB="0" distL="0" distR="0" wp14:anchorId="47B097BA" wp14:editId="6D3BA234">
            <wp:extent cx="2682240" cy="2102485"/>
            <wp:effectExtent l="0" t="0" r="3810" b="0"/>
            <wp:docPr id="2096330420"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682240" cy="2102485"/>
                    </a:xfrm>
                    <a:prstGeom prst="rect">
                      <a:avLst/>
                    </a:prstGeom>
                    <a:noFill/>
                  </pic:spPr>
                </pic:pic>
              </a:graphicData>
            </a:graphic>
          </wp:inline>
        </w:drawing>
      </w:r>
    </w:p>
    <w:p w14:paraId="4C321BCD" w14:textId="77777777" w:rsidR="00ED4602" w:rsidRDefault="00ED4602" w:rsidP="00872E89">
      <w:pPr>
        <w:jc w:val="both"/>
        <w:rPr>
          <w:b/>
        </w:rPr>
      </w:pPr>
    </w:p>
    <w:p w14:paraId="52714041" w14:textId="6035A4E4" w:rsidR="00D9129A" w:rsidRPr="00F8108A" w:rsidRDefault="00B24C38" w:rsidP="00872E89">
      <w:pPr>
        <w:jc w:val="both"/>
        <w:rPr>
          <w:b/>
        </w:rPr>
      </w:pPr>
      <w:r>
        <w:rPr>
          <w:b/>
        </w:rPr>
        <w:t>5</w:t>
      </w:r>
      <w:r w:rsidR="00D9129A" w:rsidRPr="00F8108A">
        <w:rPr>
          <w:b/>
        </w:rPr>
        <w:t>.  Inversiones</w:t>
      </w:r>
    </w:p>
    <w:p w14:paraId="4489F769" w14:textId="1D8DF249" w:rsidR="00C05592" w:rsidRDefault="00C05592" w:rsidP="00B24C38">
      <w:pPr>
        <w:spacing w:line="276" w:lineRule="auto"/>
        <w:jc w:val="both"/>
        <w:rPr>
          <w:rFonts w:cs="Calibri"/>
          <w:color w:val="000000"/>
          <w:szCs w:val="22"/>
          <w:lang w:val="es-PE" w:eastAsia="es-PE"/>
        </w:rPr>
      </w:pPr>
    </w:p>
    <w:p w14:paraId="2903C6A2" w14:textId="537A8CE8" w:rsidR="00C17FA4" w:rsidRDefault="00AC2670" w:rsidP="00B24C38">
      <w:pPr>
        <w:spacing w:line="276" w:lineRule="auto"/>
        <w:jc w:val="both"/>
        <w:rPr>
          <w:rFonts w:cs="Calibri"/>
          <w:color w:val="000000"/>
          <w:szCs w:val="22"/>
          <w:lang w:val="es-PE" w:eastAsia="es-PE"/>
        </w:rPr>
      </w:pPr>
      <w:r w:rsidRPr="00AC2670">
        <w:rPr>
          <w:rFonts w:cs="Calibri"/>
          <w:color w:val="000000"/>
          <w:szCs w:val="22"/>
          <w:lang w:val="es-PE" w:eastAsia="es-PE"/>
        </w:rPr>
        <w:t xml:space="preserve">A fines de junio de 2026, la Cartera Administrada alcanzó la cifra de S/ 124 034 millones lo cual representa el 9,97% del PBI y un aumento de 9,27% sobre el nivel registrado hace doce meses. </w:t>
      </w:r>
      <w:r w:rsidR="00650A04">
        <w:rPr>
          <w:rFonts w:cs="Calibri"/>
          <w:color w:val="000000"/>
          <w:szCs w:val="22"/>
          <w:lang w:val="es-PE" w:eastAsia="es-PE"/>
        </w:rPr>
        <w:t>Según el horizonte de inversión</w:t>
      </w:r>
      <w:r w:rsidRPr="00AC2670">
        <w:rPr>
          <w:rFonts w:cs="Calibri"/>
          <w:color w:val="000000"/>
          <w:szCs w:val="22"/>
          <w:lang w:val="es-PE" w:eastAsia="es-PE"/>
        </w:rPr>
        <w:t xml:space="preserve">, en junio de 2026, la participación de las inversiones en Acciones y Fondos Mutuos sobre la Cartera Administrada fue de 61,17%, cifra superior en 0,5 p.p. con relación a junio de 2025. </w:t>
      </w:r>
      <w:r w:rsidR="00650A04">
        <w:rPr>
          <w:rFonts w:cs="Calibri"/>
          <w:color w:val="000000"/>
          <w:szCs w:val="22"/>
          <w:lang w:val="es-PE" w:eastAsia="es-PE"/>
        </w:rPr>
        <w:t>Mientras que,</w:t>
      </w:r>
      <w:r w:rsidRPr="00AC2670">
        <w:rPr>
          <w:rFonts w:cs="Calibri"/>
          <w:color w:val="000000"/>
          <w:szCs w:val="22"/>
          <w:lang w:val="es-PE" w:eastAsia="es-PE"/>
        </w:rPr>
        <w:t xml:space="preserve"> las inversiones con un horizonte mayor a 5 años alcanzaron una participación de 28,06% sobre la Cartera Administrada, reflejando un aumento de 0,3 puntos porcentuales respecto a la participación registrada en junio de 2025.</w:t>
      </w:r>
      <w:r w:rsidRPr="00AC2670">
        <w:rPr>
          <w:rFonts w:cs="Calibri"/>
          <w:color w:val="000000"/>
          <w:szCs w:val="22"/>
          <w:lang w:val="es-PE" w:eastAsia="es-PE"/>
        </w:rPr>
        <w:tab/>
      </w:r>
      <w:r w:rsidRPr="00AC2670">
        <w:rPr>
          <w:rFonts w:cs="Calibri"/>
          <w:color w:val="000000"/>
          <w:szCs w:val="22"/>
          <w:lang w:val="es-PE" w:eastAsia="es-PE"/>
        </w:rPr>
        <w:tab/>
      </w:r>
      <w:r w:rsidRPr="00AC2670">
        <w:rPr>
          <w:rFonts w:cs="Calibri"/>
          <w:color w:val="000000"/>
          <w:szCs w:val="22"/>
          <w:lang w:val="es-PE" w:eastAsia="es-PE"/>
        </w:rPr>
        <w:tab/>
      </w:r>
      <w:r w:rsidRPr="00AC2670">
        <w:rPr>
          <w:rFonts w:cs="Calibri"/>
          <w:color w:val="000000"/>
          <w:szCs w:val="22"/>
          <w:lang w:val="es-PE" w:eastAsia="es-PE"/>
        </w:rPr>
        <w:tab/>
      </w:r>
      <w:r w:rsidRPr="00AC2670">
        <w:rPr>
          <w:rFonts w:cs="Calibri"/>
          <w:color w:val="000000"/>
          <w:szCs w:val="22"/>
          <w:lang w:val="es-PE" w:eastAsia="es-PE"/>
        </w:rPr>
        <w:tab/>
      </w:r>
      <w:r w:rsidRPr="00AC2670">
        <w:rPr>
          <w:rFonts w:cs="Calibri"/>
          <w:color w:val="000000"/>
          <w:szCs w:val="22"/>
          <w:lang w:val="es-PE" w:eastAsia="es-PE"/>
        </w:rPr>
        <w:tab/>
      </w:r>
    </w:p>
    <w:p w14:paraId="31910D96" w14:textId="77777777" w:rsidR="00C17FA4" w:rsidRDefault="00C17FA4" w:rsidP="00B24C38">
      <w:pPr>
        <w:spacing w:line="276" w:lineRule="auto"/>
        <w:jc w:val="both"/>
        <w:rPr>
          <w:rFonts w:cs="Calibri"/>
          <w:color w:val="000000"/>
          <w:szCs w:val="22"/>
          <w:lang w:val="es-PE" w:eastAsia="es-PE"/>
        </w:rPr>
      </w:pPr>
    </w:p>
    <w:p w14:paraId="67F7BDAA" w14:textId="77777777" w:rsidR="00C17FA4" w:rsidRDefault="00C17FA4" w:rsidP="00B24C38">
      <w:pPr>
        <w:spacing w:line="276" w:lineRule="auto"/>
        <w:jc w:val="both"/>
        <w:rPr>
          <w:rFonts w:cs="Calibri"/>
          <w:color w:val="000000"/>
          <w:szCs w:val="22"/>
          <w:lang w:val="es-PE" w:eastAsia="es-PE"/>
        </w:rPr>
      </w:pPr>
    </w:p>
    <w:p w14:paraId="357C5397" w14:textId="77777777" w:rsidR="00C17FA4" w:rsidRDefault="00C17FA4" w:rsidP="00872E89">
      <w:pPr>
        <w:jc w:val="both"/>
        <w:rPr>
          <w:rFonts w:cs="Calibri"/>
          <w:color w:val="000000"/>
          <w:szCs w:val="22"/>
          <w:lang w:val="es-PE" w:eastAsia="es-PE"/>
        </w:rPr>
      </w:pPr>
    </w:p>
    <w:p w14:paraId="1C60D046" w14:textId="77777777" w:rsidR="00B24C38" w:rsidRDefault="00B24C38" w:rsidP="00872E89">
      <w:pPr>
        <w:jc w:val="both"/>
        <w:rPr>
          <w:rFonts w:cs="Calibri"/>
          <w:color w:val="000000"/>
          <w:szCs w:val="22"/>
          <w:lang w:val="es-PE" w:eastAsia="es-PE"/>
        </w:rPr>
      </w:pPr>
    </w:p>
    <w:p w14:paraId="02F4C8AA" w14:textId="77777777" w:rsidR="00C17FA4" w:rsidRDefault="00C17FA4" w:rsidP="00B24C38">
      <w:pPr>
        <w:spacing w:line="276" w:lineRule="auto"/>
        <w:jc w:val="both"/>
        <w:rPr>
          <w:rFonts w:cs="Calibri"/>
          <w:color w:val="000000"/>
          <w:szCs w:val="22"/>
          <w:lang w:val="es-PE" w:eastAsia="es-PE"/>
        </w:rPr>
      </w:pPr>
    </w:p>
    <w:p w14:paraId="4C82F448" w14:textId="13177779" w:rsidR="00763BEA" w:rsidRDefault="00120D84" w:rsidP="00B24C38">
      <w:pPr>
        <w:pStyle w:val="Textoindependiente3"/>
        <w:spacing w:line="276" w:lineRule="auto"/>
        <w:rPr>
          <w:b/>
          <w:sz w:val="20"/>
        </w:rPr>
      </w:pPr>
      <w:r w:rsidRPr="00F8108A">
        <w:rPr>
          <w:b/>
          <w:sz w:val="20"/>
        </w:rPr>
        <w:t xml:space="preserve">         </w:t>
      </w:r>
      <w:r w:rsidR="0010116C" w:rsidRPr="00F8108A">
        <w:rPr>
          <w:b/>
          <w:sz w:val="20"/>
        </w:rPr>
        <w:t xml:space="preserve"> </w:t>
      </w:r>
      <w:r w:rsidR="00BD5531">
        <w:rPr>
          <w:b/>
          <w:sz w:val="20"/>
        </w:rPr>
        <w:t xml:space="preserve">    </w:t>
      </w:r>
      <w:r w:rsidRPr="00F8108A">
        <w:rPr>
          <w:b/>
          <w:sz w:val="20"/>
        </w:rPr>
        <w:t xml:space="preserve"> </w:t>
      </w:r>
      <w:r w:rsidR="00E73CF3" w:rsidRPr="00F8108A">
        <w:rPr>
          <w:b/>
          <w:sz w:val="20"/>
        </w:rPr>
        <w:t xml:space="preserve">  </w:t>
      </w:r>
      <w:r w:rsidR="001D3D00" w:rsidRPr="00F8108A">
        <w:rPr>
          <w:b/>
          <w:sz w:val="20"/>
        </w:rPr>
        <w:t xml:space="preserve">Evolución de la Cartera Administrada  </w:t>
      </w:r>
      <w:r w:rsidR="009728CD">
        <w:rPr>
          <w:b/>
          <w:sz w:val="20"/>
        </w:rPr>
        <w:t xml:space="preserve">        </w:t>
      </w:r>
      <w:r w:rsidR="00BD5531">
        <w:rPr>
          <w:b/>
          <w:sz w:val="20"/>
        </w:rPr>
        <w:t xml:space="preserve">                     </w:t>
      </w:r>
      <w:r w:rsidR="009728CD">
        <w:rPr>
          <w:b/>
          <w:sz w:val="20"/>
        </w:rPr>
        <w:t>T</w:t>
      </w:r>
      <w:r w:rsidR="001D3D00" w:rsidRPr="00F8108A">
        <w:rPr>
          <w:b/>
          <w:sz w:val="20"/>
        </w:rPr>
        <w:t>otal Carteras Administradas según</w:t>
      </w:r>
      <w:r w:rsidRPr="00F8108A">
        <w:rPr>
          <w:b/>
          <w:sz w:val="20"/>
        </w:rPr>
        <w:t xml:space="preserve"> Plazo </w:t>
      </w:r>
    </w:p>
    <w:p w14:paraId="6016B231" w14:textId="7B359594" w:rsidR="00ED4602" w:rsidRDefault="00B4429B" w:rsidP="00B24C38">
      <w:pPr>
        <w:pStyle w:val="Textoindependiente3"/>
        <w:spacing w:line="276" w:lineRule="auto"/>
        <w:rPr>
          <w:b/>
          <w:sz w:val="20"/>
        </w:rPr>
      </w:pPr>
      <w:r>
        <w:rPr>
          <w:b/>
          <w:noProof/>
          <w:sz w:val="20"/>
        </w:rPr>
        <w:drawing>
          <wp:anchor distT="0" distB="0" distL="114300" distR="114300" simplePos="0" relativeHeight="251658240" behindDoc="0" locked="0" layoutInCell="1" allowOverlap="1" wp14:anchorId="3FC10AC7" wp14:editId="7D0A1748">
            <wp:simplePos x="0" y="0"/>
            <wp:positionH relativeFrom="margin">
              <wp:align>right</wp:align>
            </wp:positionH>
            <wp:positionV relativeFrom="paragraph">
              <wp:posOffset>8255</wp:posOffset>
            </wp:positionV>
            <wp:extent cx="2607945" cy="2260600"/>
            <wp:effectExtent l="0" t="0" r="1905" b="6350"/>
            <wp:wrapNone/>
            <wp:docPr id="2107082592"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t="2381" b="-1"/>
                    <a:stretch>
                      <a:fillRect/>
                    </a:stretch>
                  </pic:blipFill>
                  <pic:spPr bwMode="auto">
                    <a:xfrm>
                      <a:off x="0" y="0"/>
                      <a:ext cx="2607945" cy="22606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75CFE">
        <w:rPr>
          <w:b/>
          <w:noProof/>
          <w:sz w:val="20"/>
        </w:rPr>
        <w:drawing>
          <wp:inline distT="0" distB="0" distL="0" distR="0" wp14:anchorId="121CB785" wp14:editId="33A5DC88">
            <wp:extent cx="2782395" cy="2095500"/>
            <wp:effectExtent l="0" t="0" r="0" b="0"/>
            <wp:docPr id="1429272681"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90043" cy="2101260"/>
                    </a:xfrm>
                    <a:prstGeom prst="rect">
                      <a:avLst/>
                    </a:prstGeom>
                    <a:noFill/>
                  </pic:spPr>
                </pic:pic>
              </a:graphicData>
            </a:graphic>
          </wp:inline>
        </w:drawing>
      </w:r>
      <w:r w:rsidR="00A75CFE">
        <w:rPr>
          <w:b/>
          <w:noProof/>
          <w:sz w:val="20"/>
        </w:rPr>
        <w:t xml:space="preserve">   </w:t>
      </w:r>
    </w:p>
    <w:p w14:paraId="3C0D7338" w14:textId="1236C183" w:rsidR="00BD5531" w:rsidRDefault="00BD5531" w:rsidP="00B24C38">
      <w:pPr>
        <w:pStyle w:val="Textoindependiente3"/>
        <w:spacing w:line="276" w:lineRule="auto"/>
        <w:rPr>
          <w:b/>
          <w:sz w:val="20"/>
        </w:rPr>
      </w:pPr>
    </w:p>
    <w:p w14:paraId="0ECDB458" w14:textId="77777777" w:rsidR="00BD5531" w:rsidRDefault="00BD5531" w:rsidP="00B24C38">
      <w:pPr>
        <w:pStyle w:val="Textoindependiente3"/>
        <w:spacing w:line="276" w:lineRule="auto"/>
        <w:rPr>
          <w:b/>
          <w:sz w:val="20"/>
        </w:rPr>
      </w:pPr>
    </w:p>
    <w:p w14:paraId="5D93A59B" w14:textId="77777777" w:rsidR="001E3DAC" w:rsidRDefault="001E3DAC" w:rsidP="00B24C38">
      <w:pPr>
        <w:pStyle w:val="Textoindependiente3"/>
        <w:spacing w:line="276" w:lineRule="auto"/>
        <w:rPr>
          <w:b/>
          <w:sz w:val="20"/>
        </w:rPr>
      </w:pPr>
    </w:p>
    <w:p w14:paraId="21874899" w14:textId="7B99B118" w:rsidR="00310120" w:rsidRPr="00763BEA" w:rsidRDefault="00B24C38" w:rsidP="00B24C38">
      <w:pPr>
        <w:pStyle w:val="Textoindependiente3"/>
        <w:spacing w:line="276" w:lineRule="auto"/>
        <w:rPr>
          <w:b/>
          <w:sz w:val="20"/>
        </w:rPr>
      </w:pPr>
      <w:r>
        <w:rPr>
          <w:b/>
          <w:bCs/>
        </w:rPr>
        <w:t>6</w:t>
      </w:r>
      <w:r w:rsidR="00D9129A" w:rsidRPr="00F8108A">
        <w:rPr>
          <w:b/>
          <w:bCs/>
        </w:rPr>
        <w:t>.  Cartera Administrada por instrumento financiero</w:t>
      </w:r>
    </w:p>
    <w:p w14:paraId="16F40194" w14:textId="77777777" w:rsidR="00133022" w:rsidRPr="00F8108A" w:rsidRDefault="00133022" w:rsidP="00B24C38">
      <w:pPr>
        <w:pStyle w:val="Textoindependiente3"/>
        <w:spacing w:line="276" w:lineRule="auto"/>
        <w:rPr>
          <w:b/>
          <w:bCs/>
        </w:rPr>
      </w:pPr>
    </w:p>
    <w:p w14:paraId="61C1EBA6" w14:textId="5952A2FF" w:rsidR="002D4E7A" w:rsidRPr="00CB567B" w:rsidRDefault="00B4429B" w:rsidP="00B24C38">
      <w:pPr>
        <w:pStyle w:val="Textoindependiente"/>
        <w:spacing w:line="276" w:lineRule="auto"/>
        <w:rPr>
          <w:rFonts w:cs="Calibri"/>
          <w:b w:val="0"/>
          <w:bCs w:val="0"/>
          <w:color w:val="000000"/>
          <w:szCs w:val="22"/>
          <w:lang w:val="es-PE" w:eastAsia="es-PE"/>
        </w:rPr>
      </w:pPr>
      <w:r w:rsidRPr="00B4429B">
        <w:rPr>
          <w:rFonts w:cs="Calibri"/>
          <w:b w:val="0"/>
          <w:bCs w:val="0"/>
          <w:color w:val="000000"/>
          <w:szCs w:val="22"/>
          <w:lang w:val="es-PE" w:eastAsia="es-PE"/>
        </w:rPr>
        <w:t>En junio de 2026 se puede observar que la inversión en Fondos Mutuos del Exterior sigue siendo el instrumento más importante de la Cartera Administrada, pues su participación alcanza el 40,4%. Por su parte, la participación de las inversiones en Bonos del Gobierno Peruano disminuyó de 18,9% en junio de 2025 a 18,2% en junio de 2026, posicionándose como el segundo instrumento más importante de la Cartera Administrada. Por otro lado, a fines de junio de 2026, la participación de las inversiones en Acciones y ADR locales sobre el total de la Cartera fue 17,2%, lo que indica un aumento de 1,7 puntos porcentuales con respecto a junio de 2025.</w:t>
      </w:r>
      <w:r w:rsidRPr="00B4429B">
        <w:rPr>
          <w:rFonts w:cs="Calibri"/>
          <w:b w:val="0"/>
          <w:bCs w:val="0"/>
          <w:color w:val="000000"/>
          <w:szCs w:val="22"/>
          <w:lang w:val="es-PE" w:eastAsia="es-PE"/>
        </w:rPr>
        <w:tab/>
      </w:r>
      <w:r w:rsidRPr="00B4429B">
        <w:rPr>
          <w:rFonts w:cs="Calibri"/>
          <w:b w:val="0"/>
          <w:bCs w:val="0"/>
          <w:color w:val="000000"/>
          <w:szCs w:val="22"/>
          <w:lang w:val="es-PE" w:eastAsia="es-PE"/>
        </w:rPr>
        <w:tab/>
      </w:r>
      <w:r w:rsidRPr="00B4429B">
        <w:rPr>
          <w:rFonts w:cs="Calibri"/>
          <w:b w:val="0"/>
          <w:bCs w:val="0"/>
          <w:color w:val="000000"/>
          <w:szCs w:val="22"/>
          <w:lang w:val="es-PE" w:eastAsia="es-PE"/>
        </w:rPr>
        <w:tab/>
      </w:r>
      <w:r w:rsidRPr="00B4429B">
        <w:rPr>
          <w:rFonts w:cs="Calibri"/>
          <w:b w:val="0"/>
          <w:bCs w:val="0"/>
          <w:color w:val="000000"/>
          <w:szCs w:val="22"/>
          <w:lang w:val="es-PE" w:eastAsia="es-PE"/>
        </w:rPr>
        <w:tab/>
      </w:r>
      <w:r w:rsidRPr="00B4429B">
        <w:rPr>
          <w:rFonts w:cs="Calibri"/>
          <w:b w:val="0"/>
          <w:bCs w:val="0"/>
          <w:color w:val="000000"/>
          <w:szCs w:val="22"/>
          <w:lang w:val="es-PE" w:eastAsia="es-PE"/>
        </w:rPr>
        <w:tab/>
      </w:r>
      <w:r w:rsidRPr="00B4429B">
        <w:rPr>
          <w:rFonts w:cs="Calibri"/>
          <w:b w:val="0"/>
          <w:bCs w:val="0"/>
          <w:color w:val="000000"/>
          <w:szCs w:val="22"/>
          <w:lang w:val="es-PE" w:eastAsia="es-PE"/>
        </w:rPr>
        <w:tab/>
      </w:r>
      <w:r w:rsidRPr="00B4429B">
        <w:rPr>
          <w:rFonts w:cs="Calibri"/>
          <w:b w:val="0"/>
          <w:bCs w:val="0"/>
          <w:color w:val="000000"/>
          <w:szCs w:val="22"/>
          <w:lang w:val="es-PE" w:eastAsia="es-PE"/>
        </w:rPr>
        <w:tab/>
      </w:r>
      <w:r w:rsidRPr="00B4429B">
        <w:rPr>
          <w:rFonts w:cs="Calibri"/>
          <w:b w:val="0"/>
          <w:bCs w:val="0"/>
          <w:color w:val="000000"/>
          <w:szCs w:val="22"/>
          <w:lang w:val="es-PE" w:eastAsia="es-PE"/>
        </w:rPr>
        <w:tab/>
      </w:r>
      <w:r w:rsidRPr="00B4429B">
        <w:rPr>
          <w:rFonts w:cs="Calibri"/>
          <w:b w:val="0"/>
          <w:bCs w:val="0"/>
          <w:color w:val="000000"/>
          <w:szCs w:val="22"/>
          <w:lang w:val="es-PE" w:eastAsia="es-PE"/>
        </w:rPr>
        <w:tab/>
      </w:r>
      <w:r w:rsidR="00084F41" w:rsidRPr="00084F41">
        <w:rPr>
          <w:rFonts w:cs="Calibri"/>
          <w:b w:val="0"/>
          <w:bCs w:val="0"/>
          <w:color w:val="000000"/>
          <w:szCs w:val="22"/>
          <w:lang w:val="es-PE" w:eastAsia="es-PE"/>
        </w:rPr>
        <w:tab/>
      </w:r>
      <w:r w:rsidR="00084F41" w:rsidRPr="00084F41">
        <w:rPr>
          <w:rFonts w:cs="Calibri"/>
          <w:b w:val="0"/>
          <w:bCs w:val="0"/>
          <w:color w:val="000000"/>
          <w:szCs w:val="22"/>
          <w:lang w:val="es-PE" w:eastAsia="es-PE"/>
        </w:rPr>
        <w:tab/>
      </w:r>
      <w:r w:rsidR="00084F41" w:rsidRPr="00084F41">
        <w:rPr>
          <w:rFonts w:cs="Calibri"/>
          <w:b w:val="0"/>
          <w:bCs w:val="0"/>
          <w:color w:val="000000"/>
          <w:szCs w:val="22"/>
          <w:lang w:val="es-PE" w:eastAsia="es-PE"/>
        </w:rPr>
        <w:tab/>
      </w:r>
      <w:r w:rsidR="00084F41" w:rsidRPr="00084F41">
        <w:rPr>
          <w:rFonts w:cs="Calibri"/>
          <w:b w:val="0"/>
          <w:bCs w:val="0"/>
          <w:color w:val="000000"/>
          <w:szCs w:val="22"/>
          <w:lang w:val="es-PE" w:eastAsia="es-PE"/>
        </w:rPr>
        <w:tab/>
      </w:r>
      <w:r w:rsidR="00084F41" w:rsidRPr="00084F41">
        <w:rPr>
          <w:rFonts w:cs="Calibri"/>
          <w:b w:val="0"/>
          <w:bCs w:val="0"/>
          <w:color w:val="000000"/>
          <w:szCs w:val="22"/>
          <w:lang w:val="es-PE" w:eastAsia="es-PE"/>
        </w:rPr>
        <w:tab/>
      </w:r>
      <w:r w:rsidR="00084F41" w:rsidRPr="00084F41">
        <w:rPr>
          <w:rFonts w:cs="Calibri"/>
          <w:b w:val="0"/>
          <w:bCs w:val="0"/>
          <w:color w:val="000000"/>
          <w:szCs w:val="22"/>
          <w:lang w:val="es-PE" w:eastAsia="es-PE"/>
        </w:rPr>
        <w:tab/>
      </w:r>
      <w:r w:rsidR="000C3286" w:rsidRPr="000C3286">
        <w:rPr>
          <w:rFonts w:cs="Calibri"/>
          <w:b w:val="0"/>
          <w:bCs w:val="0"/>
          <w:color w:val="000000"/>
          <w:szCs w:val="22"/>
          <w:lang w:val="es-PE" w:eastAsia="es-PE"/>
        </w:rPr>
        <w:tab/>
      </w:r>
      <w:r w:rsidR="000C3286" w:rsidRPr="000C3286">
        <w:rPr>
          <w:rFonts w:cs="Calibri"/>
          <w:b w:val="0"/>
          <w:bCs w:val="0"/>
          <w:color w:val="000000"/>
          <w:szCs w:val="22"/>
          <w:lang w:val="es-PE" w:eastAsia="es-PE"/>
        </w:rPr>
        <w:tab/>
      </w:r>
      <w:r w:rsidR="00AE7BAD" w:rsidRPr="00AE7BAD">
        <w:rPr>
          <w:rFonts w:cs="Calibri"/>
          <w:b w:val="0"/>
          <w:bCs w:val="0"/>
          <w:color w:val="000000"/>
          <w:szCs w:val="22"/>
          <w:lang w:val="es-PE" w:eastAsia="es-PE"/>
        </w:rPr>
        <w:tab/>
      </w:r>
      <w:r w:rsidR="006702B1" w:rsidRPr="006702B1">
        <w:rPr>
          <w:rFonts w:cs="Calibri"/>
          <w:b w:val="0"/>
          <w:bCs w:val="0"/>
          <w:color w:val="000000"/>
          <w:szCs w:val="22"/>
          <w:lang w:val="es-PE" w:eastAsia="es-PE"/>
        </w:rPr>
        <w:tab/>
      </w:r>
      <w:r w:rsidR="006702B1" w:rsidRPr="006702B1">
        <w:rPr>
          <w:rFonts w:cs="Calibri"/>
          <w:b w:val="0"/>
          <w:bCs w:val="0"/>
          <w:color w:val="000000"/>
          <w:szCs w:val="22"/>
          <w:lang w:val="es-PE" w:eastAsia="es-PE"/>
        </w:rPr>
        <w:tab/>
      </w:r>
      <w:r w:rsidR="006702B1" w:rsidRPr="006702B1">
        <w:rPr>
          <w:rFonts w:cs="Calibri"/>
          <w:b w:val="0"/>
          <w:bCs w:val="0"/>
          <w:color w:val="000000"/>
          <w:szCs w:val="22"/>
          <w:lang w:val="es-PE" w:eastAsia="es-PE"/>
        </w:rPr>
        <w:tab/>
      </w:r>
    </w:p>
    <w:p w14:paraId="33DBD57B" w14:textId="687FEFDD" w:rsidR="00D9129A" w:rsidRPr="00F8108A" w:rsidRDefault="00D9129A" w:rsidP="00B24C38">
      <w:pPr>
        <w:pStyle w:val="Textoindependiente"/>
        <w:spacing w:line="276" w:lineRule="auto"/>
        <w:jc w:val="center"/>
        <w:rPr>
          <w:sz w:val="20"/>
          <w:szCs w:val="20"/>
        </w:rPr>
      </w:pPr>
      <w:r w:rsidRPr="00F8108A">
        <w:rPr>
          <w:sz w:val="20"/>
          <w:szCs w:val="20"/>
        </w:rPr>
        <w:t xml:space="preserve">Cartera Administrada </w:t>
      </w:r>
      <w:r w:rsidR="00F31B7B" w:rsidRPr="00F8108A">
        <w:rPr>
          <w:sz w:val="20"/>
          <w:szCs w:val="20"/>
        </w:rPr>
        <w:t>por Instrumento Financiero</w:t>
      </w:r>
      <w:r w:rsidR="00BD350F" w:rsidRPr="00F8108A">
        <w:rPr>
          <w:sz w:val="20"/>
          <w:szCs w:val="20"/>
        </w:rPr>
        <w:t xml:space="preserve"> </w:t>
      </w:r>
    </w:p>
    <w:p w14:paraId="797E67E5" w14:textId="6E90ACC2" w:rsidR="00C06CEB" w:rsidRPr="00F8108A" w:rsidRDefault="00D9129A" w:rsidP="00B24C38">
      <w:pPr>
        <w:pStyle w:val="Textoindependiente"/>
        <w:spacing w:line="276" w:lineRule="auto"/>
        <w:jc w:val="center"/>
        <w:rPr>
          <w:sz w:val="20"/>
          <w:szCs w:val="20"/>
        </w:rPr>
      </w:pPr>
      <w:r w:rsidRPr="00F8108A">
        <w:rPr>
          <w:sz w:val="20"/>
          <w:szCs w:val="20"/>
        </w:rPr>
        <w:t>(En porcentaje)</w:t>
      </w:r>
    </w:p>
    <w:p w14:paraId="242CB92E" w14:textId="7212C115" w:rsidR="0002703F" w:rsidRDefault="009E62FF" w:rsidP="00B24C38">
      <w:pPr>
        <w:pStyle w:val="Textoindependiente"/>
        <w:spacing w:line="276" w:lineRule="auto"/>
        <w:jc w:val="center"/>
        <w:rPr>
          <w:sz w:val="20"/>
          <w:szCs w:val="20"/>
        </w:rPr>
      </w:pPr>
      <w:r w:rsidRPr="009E62FF">
        <w:drawing>
          <wp:inline distT="0" distB="0" distL="0" distR="0" wp14:anchorId="283536C0" wp14:editId="194558C6">
            <wp:extent cx="5511800" cy="3587750"/>
            <wp:effectExtent l="0" t="0" r="0" b="0"/>
            <wp:docPr id="2031552988"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523517" cy="3595377"/>
                    </a:xfrm>
                    <a:prstGeom prst="rect">
                      <a:avLst/>
                    </a:prstGeom>
                    <a:noFill/>
                    <a:ln>
                      <a:noFill/>
                    </a:ln>
                  </pic:spPr>
                </pic:pic>
              </a:graphicData>
            </a:graphic>
          </wp:inline>
        </w:drawing>
      </w:r>
    </w:p>
    <w:p w14:paraId="5196CB78" w14:textId="76A51D22" w:rsidR="004B1A8C" w:rsidRPr="00F8108A" w:rsidRDefault="00B24C38" w:rsidP="00B24C38">
      <w:pPr>
        <w:pStyle w:val="Textoindependiente"/>
        <w:spacing w:line="276" w:lineRule="auto"/>
        <w:ind w:left="708" w:hanging="708"/>
      </w:pPr>
      <w:r>
        <w:lastRenderedPageBreak/>
        <w:t>7</w:t>
      </w:r>
      <w:r w:rsidR="00D9129A" w:rsidRPr="00F8108A">
        <w:t>.</w:t>
      </w:r>
      <w:r w:rsidR="00514045" w:rsidRPr="00F8108A">
        <w:t xml:space="preserve"> </w:t>
      </w:r>
      <w:r w:rsidR="00D9129A" w:rsidRPr="00F8108A">
        <w:t>Rentabilidad de la Cartera Administrada</w:t>
      </w:r>
    </w:p>
    <w:p w14:paraId="02AEDE13" w14:textId="4A022683" w:rsidR="00794CE8" w:rsidRPr="00F8108A" w:rsidRDefault="00794CE8" w:rsidP="00B24C38">
      <w:pPr>
        <w:pStyle w:val="Textoindependiente"/>
        <w:spacing w:line="276" w:lineRule="auto"/>
        <w:rPr>
          <w:u w:val="single"/>
        </w:rPr>
      </w:pPr>
    </w:p>
    <w:p w14:paraId="5E5F8728" w14:textId="3A7BC2BB" w:rsidR="00C17FA4" w:rsidRDefault="0089001A" w:rsidP="00B24C38">
      <w:pPr>
        <w:spacing w:line="276" w:lineRule="auto"/>
        <w:jc w:val="both"/>
        <w:rPr>
          <w:rFonts w:cs="Calibri"/>
          <w:color w:val="000000"/>
          <w:szCs w:val="22"/>
          <w:lang w:val="es-PE" w:eastAsia="es-PE"/>
        </w:rPr>
      </w:pPr>
      <w:r w:rsidRPr="0089001A">
        <w:rPr>
          <w:rFonts w:cs="Calibri"/>
          <w:color w:val="000000"/>
          <w:szCs w:val="22"/>
          <w:lang w:val="es-PE" w:eastAsia="es-PE"/>
        </w:rPr>
        <w:t xml:space="preserve">En </w:t>
      </w:r>
      <w:r w:rsidR="002342DF">
        <w:rPr>
          <w:rFonts w:cs="Calibri"/>
          <w:color w:val="000000"/>
          <w:szCs w:val="22"/>
          <w:lang w:val="es-PE" w:eastAsia="es-PE"/>
        </w:rPr>
        <w:t xml:space="preserve">junio </w:t>
      </w:r>
      <w:r w:rsidRPr="0089001A">
        <w:rPr>
          <w:rFonts w:cs="Calibri"/>
          <w:color w:val="000000"/>
          <w:szCs w:val="22"/>
          <w:lang w:val="es-PE" w:eastAsia="es-PE"/>
        </w:rPr>
        <w:t xml:space="preserve">de </w:t>
      </w:r>
      <w:r w:rsidR="001011CD">
        <w:rPr>
          <w:rFonts w:cs="Calibri"/>
          <w:color w:val="000000"/>
          <w:szCs w:val="22"/>
          <w:lang w:val="es-PE" w:eastAsia="es-PE"/>
        </w:rPr>
        <w:t>2026</w:t>
      </w:r>
      <w:r w:rsidRPr="0089001A">
        <w:rPr>
          <w:rFonts w:cs="Calibri"/>
          <w:color w:val="000000"/>
          <w:szCs w:val="22"/>
          <w:lang w:val="es-PE" w:eastAsia="es-PE"/>
        </w:rPr>
        <w:t xml:space="preserve">, las rentabilidades nominales de los Fondos </w:t>
      </w:r>
      <w:r w:rsidR="00C97761">
        <w:rPr>
          <w:rFonts w:cs="Calibri"/>
          <w:color w:val="000000"/>
          <w:szCs w:val="22"/>
          <w:lang w:val="es-PE" w:eastAsia="es-PE"/>
        </w:rPr>
        <w:t xml:space="preserve">1, </w:t>
      </w:r>
      <w:r w:rsidRPr="0089001A">
        <w:rPr>
          <w:rFonts w:cs="Calibri"/>
          <w:color w:val="000000"/>
          <w:szCs w:val="22"/>
          <w:lang w:val="es-PE" w:eastAsia="es-PE"/>
        </w:rPr>
        <w:t>2 y 3</w:t>
      </w:r>
      <w:r w:rsidR="00C97761">
        <w:rPr>
          <w:rFonts w:cs="Calibri"/>
          <w:color w:val="000000"/>
          <w:szCs w:val="22"/>
          <w:lang w:val="es-PE" w:eastAsia="es-PE"/>
        </w:rPr>
        <w:t xml:space="preserve"> ascendieron a </w:t>
      </w:r>
      <w:r w:rsidR="002342DF">
        <w:rPr>
          <w:rFonts w:cs="Calibri"/>
          <w:color w:val="000000"/>
          <w:szCs w:val="22"/>
          <w:lang w:val="es-PE" w:eastAsia="es-PE"/>
        </w:rPr>
        <w:t>12,97</w:t>
      </w:r>
      <w:r w:rsidR="00C97761">
        <w:rPr>
          <w:rFonts w:cs="Calibri"/>
          <w:color w:val="000000"/>
          <w:szCs w:val="22"/>
          <w:lang w:val="es-PE" w:eastAsia="es-PE"/>
        </w:rPr>
        <w:t xml:space="preserve">%, </w:t>
      </w:r>
      <w:r w:rsidR="002342DF">
        <w:rPr>
          <w:rFonts w:cs="Calibri"/>
          <w:color w:val="000000"/>
          <w:szCs w:val="22"/>
          <w:lang w:val="es-PE" w:eastAsia="es-PE"/>
        </w:rPr>
        <w:t>24,80</w:t>
      </w:r>
      <w:r w:rsidR="00C97761">
        <w:rPr>
          <w:rFonts w:cs="Calibri"/>
          <w:color w:val="000000"/>
          <w:szCs w:val="22"/>
          <w:lang w:val="es-PE" w:eastAsia="es-PE"/>
        </w:rPr>
        <w:t>%</w:t>
      </w:r>
      <w:r w:rsidR="002342DF">
        <w:rPr>
          <w:rFonts w:cs="Calibri"/>
          <w:color w:val="000000"/>
          <w:szCs w:val="22"/>
          <w:lang w:val="es-PE" w:eastAsia="es-PE"/>
        </w:rPr>
        <w:t xml:space="preserve"> y 42,30</w:t>
      </w:r>
      <w:r w:rsidR="00C97761">
        <w:rPr>
          <w:rFonts w:cs="Calibri"/>
          <w:color w:val="000000"/>
          <w:szCs w:val="22"/>
          <w:lang w:val="es-PE" w:eastAsia="es-PE"/>
        </w:rPr>
        <w:t xml:space="preserve">%, montos </w:t>
      </w:r>
      <w:r w:rsidRPr="0089001A">
        <w:rPr>
          <w:rFonts w:cs="Calibri"/>
          <w:color w:val="000000"/>
          <w:szCs w:val="22"/>
          <w:lang w:val="es-PE" w:eastAsia="es-PE"/>
        </w:rPr>
        <w:t>superiores en</w:t>
      </w:r>
      <w:r w:rsidR="00C97761">
        <w:rPr>
          <w:rFonts w:cs="Calibri"/>
          <w:color w:val="000000"/>
          <w:szCs w:val="22"/>
          <w:lang w:val="es-PE" w:eastAsia="es-PE"/>
        </w:rPr>
        <w:t xml:space="preserve"> 8,</w:t>
      </w:r>
      <w:r w:rsidR="002342DF">
        <w:rPr>
          <w:rFonts w:cs="Calibri"/>
          <w:color w:val="000000"/>
          <w:szCs w:val="22"/>
          <w:lang w:val="es-PE" w:eastAsia="es-PE"/>
        </w:rPr>
        <w:t>1</w:t>
      </w:r>
      <w:r w:rsidR="00D21210">
        <w:rPr>
          <w:rFonts w:cs="Calibri"/>
          <w:color w:val="000000"/>
          <w:szCs w:val="22"/>
          <w:lang w:val="es-PE" w:eastAsia="es-PE"/>
        </w:rPr>
        <w:t xml:space="preserve"> </w:t>
      </w:r>
      <w:r w:rsidRPr="0089001A">
        <w:rPr>
          <w:rFonts w:cs="Calibri"/>
          <w:color w:val="000000"/>
          <w:szCs w:val="22"/>
          <w:lang w:val="es-PE" w:eastAsia="es-PE"/>
        </w:rPr>
        <w:t xml:space="preserve">p.p. </w:t>
      </w:r>
      <w:r w:rsidR="002342DF">
        <w:rPr>
          <w:rFonts w:cs="Calibri"/>
          <w:color w:val="000000"/>
          <w:szCs w:val="22"/>
          <w:lang w:val="es-PE" w:eastAsia="es-PE"/>
        </w:rPr>
        <w:t>22,2</w:t>
      </w:r>
      <w:r w:rsidR="00D21210">
        <w:rPr>
          <w:rFonts w:cs="Calibri"/>
          <w:color w:val="000000"/>
          <w:szCs w:val="22"/>
          <w:lang w:val="es-PE" w:eastAsia="es-PE"/>
        </w:rPr>
        <w:t xml:space="preserve"> p.p. </w:t>
      </w:r>
      <w:r w:rsidRPr="0089001A">
        <w:rPr>
          <w:rFonts w:cs="Calibri"/>
          <w:color w:val="000000"/>
          <w:szCs w:val="22"/>
          <w:lang w:val="es-PE" w:eastAsia="es-PE"/>
        </w:rPr>
        <w:t xml:space="preserve">y </w:t>
      </w:r>
      <w:r w:rsidR="002342DF">
        <w:rPr>
          <w:rFonts w:cs="Calibri"/>
          <w:color w:val="000000"/>
          <w:szCs w:val="22"/>
          <w:lang w:val="es-PE" w:eastAsia="es-PE"/>
        </w:rPr>
        <w:t>44,2</w:t>
      </w:r>
      <w:r w:rsidRPr="0089001A">
        <w:rPr>
          <w:rFonts w:cs="Calibri"/>
          <w:color w:val="000000"/>
          <w:szCs w:val="22"/>
          <w:lang w:val="es-PE" w:eastAsia="es-PE"/>
        </w:rPr>
        <w:t xml:space="preserve"> p.p. a los registrados en </w:t>
      </w:r>
      <w:r w:rsidR="002342DF">
        <w:rPr>
          <w:rFonts w:cs="Calibri"/>
          <w:color w:val="000000"/>
          <w:szCs w:val="22"/>
          <w:lang w:val="es-PE" w:eastAsia="es-PE"/>
        </w:rPr>
        <w:t>junio</w:t>
      </w:r>
      <w:r w:rsidRPr="0089001A">
        <w:rPr>
          <w:rFonts w:cs="Calibri"/>
          <w:color w:val="000000"/>
          <w:szCs w:val="22"/>
          <w:lang w:val="es-PE" w:eastAsia="es-PE"/>
        </w:rPr>
        <w:t xml:space="preserve"> de 202</w:t>
      </w:r>
      <w:r w:rsidR="00D21210">
        <w:rPr>
          <w:rFonts w:cs="Calibri"/>
          <w:color w:val="000000"/>
          <w:szCs w:val="22"/>
          <w:lang w:val="es-PE" w:eastAsia="es-PE"/>
        </w:rPr>
        <w:t>5</w:t>
      </w:r>
      <w:r w:rsidRPr="0089001A">
        <w:rPr>
          <w:rFonts w:cs="Calibri"/>
          <w:color w:val="000000"/>
          <w:szCs w:val="22"/>
          <w:lang w:val="es-PE" w:eastAsia="es-PE"/>
        </w:rPr>
        <w:t xml:space="preserve">. </w:t>
      </w:r>
      <w:r w:rsidR="003E6492">
        <w:rPr>
          <w:rFonts w:cs="Calibri"/>
          <w:color w:val="000000"/>
          <w:szCs w:val="22"/>
          <w:lang w:val="es-PE" w:eastAsia="es-PE"/>
        </w:rPr>
        <w:t>Mientras que</w:t>
      </w:r>
      <w:r w:rsidRPr="0089001A">
        <w:rPr>
          <w:rFonts w:cs="Calibri"/>
          <w:color w:val="000000"/>
          <w:szCs w:val="22"/>
          <w:lang w:val="es-PE" w:eastAsia="es-PE"/>
        </w:rPr>
        <w:t>, la rentabilidad nominal</w:t>
      </w:r>
      <w:r w:rsidR="00D21210">
        <w:rPr>
          <w:rFonts w:cs="Calibri"/>
          <w:color w:val="000000"/>
          <w:szCs w:val="22"/>
          <w:lang w:val="es-PE" w:eastAsia="es-PE"/>
        </w:rPr>
        <w:t xml:space="preserve"> </w:t>
      </w:r>
      <w:r w:rsidRPr="0089001A">
        <w:rPr>
          <w:rFonts w:cs="Calibri"/>
          <w:color w:val="000000"/>
          <w:szCs w:val="22"/>
          <w:lang w:val="es-PE" w:eastAsia="es-PE"/>
        </w:rPr>
        <w:t>anual de</w:t>
      </w:r>
      <w:r w:rsidR="00D21210">
        <w:rPr>
          <w:rFonts w:cs="Calibri"/>
          <w:color w:val="000000"/>
          <w:szCs w:val="22"/>
          <w:lang w:val="es-PE" w:eastAsia="es-PE"/>
        </w:rPr>
        <w:t>l</w:t>
      </w:r>
      <w:r w:rsidRPr="0089001A">
        <w:rPr>
          <w:rFonts w:cs="Calibri"/>
          <w:color w:val="000000"/>
          <w:szCs w:val="22"/>
          <w:lang w:val="es-PE" w:eastAsia="es-PE"/>
        </w:rPr>
        <w:t xml:space="preserve"> Fondo 0 </w:t>
      </w:r>
      <w:r w:rsidR="00D21210">
        <w:rPr>
          <w:rFonts w:cs="Calibri"/>
          <w:color w:val="000000"/>
          <w:szCs w:val="22"/>
          <w:lang w:val="es-PE" w:eastAsia="es-PE"/>
        </w:rPr>
        <w:t xml:space="preserve">descendió a </w:t>
      </w:r>
      <w:r w:rsidR="00475A4B">
        <w:rPr>
          <w:rFonts w:cs="Calibri"/>
          <w:color w:val="000000"/>
          <w:szCs w:val="22"/>
          <w:lang w:val="es-PE" w:eastAsia="es-PE"/>
        </w:rPr>
        <w:t>4,5</w:t>
      </w:r>
      <w:r w:rsidR="002342DF">
        <w:rPr>
          <w:rFonts w:cs="Calibri"/>
          <w:color w:val="000000"/>
          <w:szCs w:val="22"/>
          <w:lang w:val="es-PE" w:eastAsia="es-PE"/>
        </w:rPr>
        <w:t>6</w:t>
      </w:r>
      <w:r w:rsidR="00475A4B">
        <w:rPr>
          <w:rFonts w:cs="Calibri"/>
          <w:color w:val="000000"/>
          <w:szCs w:val="22"/>
          <w:lang w:val="es-PE" w:eastAsia="es-PE"/>
        </w:rPr>
        <w:t>%</w:t>
      </w:r>
      <w:r w:rsidR="003E6492">
        <w:rPr>
          <w:rFonts w:cs="Calibri"/>
          <w:color w:val="000000"/>
          <w:szCs w:val="22"/>
          <w:lang w:val="es-PE" w:eastAsia="es-PE"/>
        </w:rPr>
        <w:t>,</w:t>
      </w:r>
      <w:r w:rsidR="00475A4B">
        <w:rPr>
          <w:rFonts w:cs="Calibri"/>
          <w:color w:val="000000"/>
          <w:szCs w:val="22"/>
          <w:lang w:val="es-PE" w:eastAsia="es-PE"/>
        </w:rPr>
        <w:t xml:space="preserve"> cifra </w:t>
      </w:r>
      <w:r w:rsidRPr="0089001A">
        <w:rPr>
          <w:rFonts w:cs="Calibri"/>
          <w:color w:val="000000"/>
          <w:szCs w:val="22"/>
          <w:lang w:val="es-PE" w:eastAsia="es-PE"/>
        </w:rPr>
        <w:t xml:space="preserve">inferior en </w:t>
      </w:r>
      <w:r w:rsidR="002342DF">
        <w:rPr>
          <w:rFonts w:cs="Calibri"/>
          <w:color w:val="000000"/>
          <w:szCs w:val="22"/>
          <w:lang w:val="es-PE" w:eastAsia="es-PE"/>
        </w:rPr>
        <w:t>0,8</w:t>
      </w:r>
      <w:r w:rsidRPr="0089001A">
        <w:rPr>
          <w:rFonts w:cs="Calibri"/>
          <w:color w:val="000000"/>
          <w:szCs w:val="22"/>
          <w:lang w:val="es-PE" w:eastAsia="es-PE"/>
        </w:rPr>
        <w:t xml:space="preserve"> p.p. comparada con</w:t>
      </w:r>
      <w:r w:rsidR="002342DF">
        <w:rPr>
          <w:rFonts w:cs="Calibri"/>
          <w:color w:val="000000"/>
          <w:szCs w:val="22"/>
          <w:lang w:val="es-PE" w:eastAsia="es-PE"/>
        </w:rPr>
        <w:t xml:space="preserve"> junio</w:t>
      </w:r>
      <w:r w:rsidRPr="0089001A">
        <w:rPr>
          <w:rFonts w:cs="Calibri"/>
          <w:color w:val="000000"/>
          <w:szCs w:val="22"/>
          <w:lang w:val="es-PE" w:eastAsia="es-PE"/>
        </w:rPr>
        <w:t xml:space="preserve"> de 202</w:t>
      </w:r>
      <w:r w:rsidR="00475A4B">
        <w:rPr>
          <w:rFonts w:cs="Calibri"/>
          <w:color w:val="000000"/>
          <w:szCs w:val="22"/>
          <w:lang w:val="es-PE" w:eastAsia="es-PE"/>
        </w:rPr>
        <w:t>5.</w:t>
      </w:r>
      <w:r w:rsidRPr="0089001A">
        <w:rPr>
          <w:rFonts w:cs="Calibri"/>
          <w:color w:val="000000"/>
          <w:szCs w:val="22"/>
          <w:lang w:val="es-PE" w:eastAsia="es-PE"/>
        </w:rPr>
        <w:tab/>
      </w:r>
      <w:r w:rsidRPr="0089001A">
        <w:rPr>
          <w:rFonts w:cs="Calibri"/>
          <w:color w:val="000000"/>
          <w:szCs w:val="22"/>
          <w:lang w:val="es-PE" w:eastAsia="es-PE"/>
        </w:rPr>
        <w:tab/>
      </w:r>
    </w:p>
    <w:p w14:paraId="7168F133" w14:textId="6DE432DD" w:rsidR="00D94068" w:rsidRDefault="0089001A" w:rsidP="00B24C38">
      <w:pPr>
        <w:spacing w:line="276" w:lineRule="auto"/>
        <w:jc w:val="both"/>
        <w:rPr>
          <w:rFonts w:cs="Calibri"/>
          <w:color w:val="000000"/>
          <w:szCs w:val="22"/>
          <w:lang w:val="es-PE" w:eastAsia="es-PE"/>
        </w:rPr>
      </w:pPr>
      <w:r w:rsidRPr="0089001A">
        <w:rPr>
          <w:rFonts w:cs="Calibri"/>
          <w:color w:val="000000"/>
          <w:szCs w:val="22"/>
          <w:lang w:val="es-PE" w:eastAsia="es-PE"/>
        </w:rPr>
        <w:tab/>
      </w:r>
      <w:r w:rsidRPr="0089001A">
        <w:rPr>
          <w:rFonts w:cs="Calibri"/>
          <w:color w:val="000000"/>
          <w:szCs w:val="22"/>
          <w:lang w:val="es-PE" w:eastAsia="es-PE"/>
        </w:rPr>
        <w:tab/>
      </w:r>
      <w:r w:rsidRPr="0089001A">
        <w:rPr>
          <w:rFonts w:cs="Calibri"/>
          <w:color w:val="000000"/>
          <w:szCs w:val="22"/>
          <w:lang w:val="es-PE" w:eastAsia="es-PE"/>
        </w:rPr>
        <w:tab/>
      </w:r>
      <w:r w:rsidRPr="0089001A">
        <w:rPr>
          <w:rFonts w:cs="Calibri"/>
          <w:color w:val="000000"/>
          <w:szCs w:val="22"/>
          <w:lang w:val="es-PE" w:eastAsia="es-PE"/>
        </w:rPr>
        <w:tab/>
      </w:r>
      <w:r w:rsidRPr="0089001A">
        <w:rPr>
          <w:rFonts w:cs="Calibri"/>
          <w:color w:val="000000"/>
          <w:szCs w:val="22"/>
          <w:lang w:val="es-PE" w:eastAsia="es-PE"/>
        </w:rPr>
        <w:tab/>
      </w:r>
      <w:r w:rsidR="00D94068">
        <w:rPr>
          <w:rFonts w:cs="Calibri"/>
          <w:color w:val="000000"/>
          <w:szCs w:val="22"/>
          <w:lang w:val="es-PE" w:eastAsia="es-PE"/>
        </w:rPr>
        <w:tab/>
      </w:r>
    </w:p>
    <w:p w14:paraId="5C3FE65A" w14:textId="5E901FDE" w:rsidR="009E62FF" w:rsidRPr="009E62FF" w:rsidRDefault="00FE77B1" w:rsidP="00B24C38">
      <w:pPr>
        <w:spacing w:line="276" w:lineRule="auto"/>
        <w:jc w:val="both"/>
        <w:rPr>
          <w:rFonts w:cs="Calibri"/>
          <w:b/>
          <w:bCs/>
          <w:color w:val="000000"/>
          <w:sz w:val="20"/>
          <w:szCs w:val="20"/>
          <w:lang w:val="es-PE" w:eastAsia="es-PE"/>
        </w:rPr>
      </w:pPr>
      <w:r w:rsidRPr="00F8108A">
        <w:rPr>
          <w:rFonts w:cs="Calibri"/>
          <w:b/>
          <w:bCs/>
          <w:color w:val="000000"/>
          <w:sz w:val="20"/>
          <w:szCs w:val="20"/>
          <w:lang w:val="es-PE" w:eastAsia="es-PE"/>
        </w:rPr>
        <w:t>Rentabilidad Nominal Anual del Fondo</w:t>
      </w:r>
      <w:r w:rsidR="0052667A">
        <w:rPr>
          <w:rFonts w:cs="Calibri"/>
          <w:b/>
          <w:bCs/>
          <w:color w:val="000000"/>
          <w:sz w:val="20"/>
          <w:szCs w:val="20"/>
          <w:lang w:val="es-PE" w:eastAsia="es-PE"/>
        </w:rPr>
        <w:t xml:space="preserve"> de</w:t>
      </w:r>
      <w:r w:rsidR="00D94068">
        <w:rPr>
          <w:rFonts w:cs="Calibri"/>
          <w:b/>
          <w:bCs/>
          <w:color w:val="000000"/>
          <w:sz w:val="20"/>
          <w:szCs w:val="20"/>
          <w:lang w:val="es-PE" w:eastAsia="es-PE"/>
        </w:rPr>
        <w:t xml:space="preserve"> Pensiones</w:t>
      </w:r>
      <w:r w:rsidRPr="00F8108A">
        <w:rPr>
          <w:rFonts w:cs="Calibri"/>
          <w:b/>
          <w:bCs/>
          <w:color w:val="000000"/>
          <w:sz w:val="20"/>
          <w:szCs w:val="20"/>
          <w:lang w:val="es-PE" w:eastAsia="es-PE"/>
        </w:rPr>
        <w:t xml:space="preserve"> </w:t>
      </w:r>
      <w:r w:rsidR="0052667A">
        <w:rPr>
          <w:rFonts w:cs="Calibri"/>
          <w:b/>
          <w:bCs/>
          <w:color w:val="000000"/>
          <w:sz w:val="20"/>
          <w:szCs w:val="20"/>
          <w:lang w:val="es-PE" w:eastAsia="es-PE"/>
        </w:rPr>
        <w:tab/>
      </w:r>
      <w:r w:rsidR="00D94068">
        <w:rPr>
          <w:rFonts w:cs="Calibri"/>
          <w:b/>
          <w:bCs/>
          <w:color w:val="000000"/>
          <w:sz w:val="20"/>
          <w:szCs w:val="20"/>
          <w:lang w:val="es-PE" w:eastAsia="es-PE"/>
        </w:rPr>
        <w:t xml:space="preserve">       </w:t>
      </w:r>
      <w:r w:rsidR="0052667A" w:rsidRPr="00F8108A">
        <w:rPr>
          <w:rFonts w:cs="Calibri"/>
          <w:b/>
          <w:bCs/>
          <w:color w:val="000000"/>
          <w:sz w:val="20"/>
          <w:szCs w:val="20"/>
          <w:lang w:val="es-PE" w:eastAsia="es-PE"/>
        </w:rPr>
        <w:t>Rentabilidad Nominal Anual del Fondo de</w:t>
      </w:r>
      <w:r w:rsidR="00D94068">
        <w:rPr>
          <w:rFonts w:cs="Calibri"/>
          <w:b/>
          <w:bCs/>
          <w:color w:val="000000"/>
          <w:sz w:val="20"/>
          <w:szCs w:val="20"/>
          <w:lang w:val="es-PE" w:eastAsia="es-PE"/>
        </w:rPr>
        <w:t xml:space="preserve"> Pensiones</w:t>
      </w:r>
      <w:r w:rsidR="0052667A" w:rsidRPr="00F8108A">
        <w:rPr>
          <w:rFonts w:cs="Calibri"/>
          <w:b/>
          <w:bCs/>
          <w:color w:val="000000"/>
          <w:sz w:val="20"/>
          <w:szCs w:val="20"/>
          <w:lang w:val="es-PE" w:eastAsia="es-PE"/>
        </w:rPr>
        <w:t xml:space="preserve"> </w:t>
      </w:r>
    </w:p>
    <w:p w14:paraId="32924D2D" w14:textId="64999136" w:rsidR="0089001A" w:rsidRDefault="00FE77B1" w:rsidP="00B24C38">
      <w:pPr>
        <w:spacing w:line="276" w:lineRule="auto"/>
        <w:jc w:val="center"/>
        <w:rPr>
          <w:rFonts w:cs="Calibri"/>
          <w:b/>
          <w:bCs/>
          <w:color w:val="000000"/>
          <w:sz w:val="20"/>
          <w:szCs w:val="20"/>
          <w:lang w:val="es-PE" w:eastAsia="es-PE"/>
        </w:rPr>
      </w:pPr>
      <w:r w:rsidRPr="00F8108A">
        <w:rPr>
          <w:rFonts w:cs="Calibri"/>
          <w:b/>
          <w:bCs/>
          <w:color w:val="000000"/>
          <w:sz w:val="20"/>
          <w:szCs w:val="20"/>
          <w:lang w:val="es-PE" w:eastAsia="es-PE"/>
        </w:rPr>
        <w:t>Tipo 0</w:t>
      </w:r>
      <w:r w:rsidR="00D94068">
        <w:rPr>
          <w:rFonts w:cs="Calibri"/>
          <w:b/>
          <w:bCs/>
          <w:color w:val="000000"/>
          <w:sz w:val="20"/>
          <w:szCs w:val="20"/>
          <w:lang w:val="es-PE" w:eastAsia="es-PE"/>
        </w:rPr>
        <w:t xml:space="preserve"> / (En porcentaje)</w:t>
      </w:r>
      <w:r w:rsidR="0052667A">
        <w:rPr>
          <w:rFonts w:cs="Calibri"/>
          <w:b/>
          <w:bCs/>
          <w:color w:val="000000"/>
          <w:sz w:val="20"/>
          <w:szCs w:val="20"/>
          <w:lang w:val="es-PE" w:eastAsia="es-PE"/>
        </w:rPr>
        <w:tab/>
      </w:r>
      <w:r w:rsidR="0052667A">
        <w:rPr>
          <w:rFonts w:cs="Calibri"/>
          <w:b/>
          <w:bCs/>
          <w:color w:val="000000"/>
          <w:sz w:val="20"/>
          <w:szCs w:val="20"/>
          <w:lang w:val="es-PE" w:eastAsia="es-PE"/>
        </w:rPr>
        <w:tab/>
      </w:r>
      <w:r w:rsidR="0052667A">
        <w:rPr>
          <w:rFonts w:cs="Calibri"/>
          <w:b/>
          <w:bCs/>
          <w:color w:val="000000"/>
          <w:sz w:val="20"/>
          <w:szCs w:val="20"/>
          <w:lang w:val="es-PE" w:eastAsia="es-PE"/>
        </w:rPr>
        <w:tab/>
      </w:r>
      <w:r w:rsidR="0052667A">
        <w:rPr>
          <w:rFonts w:cs="Calibri"/>
          <w:b/>
          <w:bCs/>
          <w:color w:val="000000"/>
          <w:sz w:val="20"/>
          <w:szCs w:val="20"/>
          <w:lang w:val="es-PE" w:eastAsia="es-PE"/>
        </w:rPr>
        <w:tab/>
      </w:r>
      <w:r w:rsidR="0052667A">
        <w:rPr>
          <w:rFonts w:cs="Calibri"/>
          <w:b/>
          <w:bCs/>
          <w:color w:val="000000"/>
          <w:sz w:val="20"/>
          <w:szCs w:val="20"/>
          <w:lang w:val="es-PE" w:eastAsia="es-PE"/>
        </w:rPr>
        <w:tab/>
        <w:t xml:space="preserve"> </w:t>
      </w:r>
      <w:r w:rsidR="0052667A" w:rsidRPr="00F8108A">
        <w:rPr>
          <w:rFonts w:cs="Calibri"/>
          <w:b/>
          <w:bCs/>
          <w:color w:val="000000"/>
          <w:sz w:val="20"/>
          <w:szCs w:val="20"/>
          <w:lang w:val="es-PE" w:eastAsia="es-PE"/>
        </w:rPr>
        <w:t>Tipo 1</w:t>
      </w:r>
      <w:r w:rsidR="00D94068">
        <w:rPr>
          <w:rFonts w:cs="Calibri"/>
          <w:b/>
          <w:bCs/>
          <w:color w:val="000000"/>
          <w:sz w:val="20"/>
          <w:szCs w:val="20"/>
          <w:lang w:val="es-PE" w:eastAsia="es-PE"/>
        </w:rPr>
        <w:t xml:space="preserve"> / (En porcentaje)</w:t>
      </w:r>
    </w:p>
    <w:p w14:paraId="3975D2CA" w14:textId="4CDD2A77" w:rsidR="0089001A" w:rsidRDefault="00D0214A" w:rsidP="00B24C38">
      <w:pPr>
        <w:spacing w:line="276" w:lineRule="auto"/>
        <w:jc w:val="center"/>
        <w:rPr>
          <w:rFonts w:cs="Calibri"/>
          <w:b/>
          <w:bCs/>
          <w:noProof/>
          <w:color w:val="000000"/>
          <w:sz w:val="20"/>
          <w:szCs w:val="20"/>
          <w:lang w:val="es-PE" w:eastAsia="es-PE"/>
        </w:rPr>
      </w:pPr>
      <w:r>
        <w:rPr>
          <w:rFonts w:cs="Calibri"/>
          <w:b/>
          <w:bCs/>
          <w:noProof/>
          <w:color w:val="000000"/>
          <w:sz w:val="20"/>
          <w:szCs w:val="20"/>
          <w:lang w:val="es-PE" w:eastAsia="es-PE"/>
        </w:rPr>
        <w:drawing>
          <wp:anchor distT="0" distB="0" distL="114300" distR="114300" simplePos="0" relativeHeight="251659264" behindDoc="0" locked="0" layoutInCell="1" allowOverlap="1" wp14:anchorId="01471A82" wp14:editId="50725BD8">
            <wp:simplePos x="0" y="0"/>
            <wp:positionH relativeFrom="column">
              <wp:posOffset>-114935</wp:posOffset>
            </wp:positionH>
            <wp:positionV relativeFrom="paragraph">
              <wp:posOffset>119380</wp:posOffset>
            </wp:positionV>
            <wp:extent cx="2717800" cy="2077720"/>
            <wp:effectExtent l="0" t="0" r="6350" b="0"/>
            <wp:wrapNone/>
            <wp:docPr id="1893593008"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t="13432"/>
                    <a:stretch>
                      <a:fillRect/>
                    </a:stretch>
                  </pic:blipFill>
                  <pic:spPr bwMode="auto">
                    <a:xfrm>
                      <a:off x="0" y="0"/>
                      <a:ext cx="2717800" cy="20777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014F7">
        <w:rPr>
          <w:rFonts w:cs="Calibri"/>
          <w:b/>
          <w:bCs/>
          <w:noProof/>
          <w:color w:val="000000"/>
          <w:sz w:val="20"/>
          <w:szCs w:val="20"/>
          <w:lang w:val="es-PE" w:eastAsia="es-PE"/>
        </w:rPr>
        <w:t xml:space="preserve">   </w:t>
      </w:r>
    </w:p>
    <w:p w14:paraId="3992B38F" w14:textId="5BB2FDE2" w:rsidR="00633AE6" w:rsidRDefault="00D0214A" w:rsidP="00B24C38">
      <w:pPr>
        <w:spacing w:line="276" w:lineRule="auto"/>
        <w:rPr>
          <w:rFonts w:cs="Calibri"/>
          <w:b/>
          <w:bCs/>
          <w:color w:val="000000"/>
          <w:sz w:val="20"/>
          <w:szCs w:val="20"/>
          <w:lang w:val="es-PE" w:eastAsia="es-PE"/>
        </w:rPr>
      </w:pPr>
      <w:r>
        <w:rPr>
          <w:rFonts w:cs="Calibri"/>
          <w:b/>
          <w:bCs/>
          <w:noProof/>
          <w:color w:val="000000"/>
          <w:sz w:val="20"/>
          <w:szCs w:val="20"/>
          <w:lang w:val="es-PE" w:eastAsia="es-PE"/>
        </w:rPr>
        <w:drawing>
          <wp:anchor distT="0" distB="0" distL="114300" distR="114300" simplePos="0" relativeHeight="251660288" behindDoc="0" locked="0" layoutInCell="1" allowOverlap="1" wp14:anchorId="6D0EF6C7" wp14:editId="37F1C07D">
            <wp:simplePos x="0" y="0"/>
            <wp:positionH relativeFrom="margin">
              <wp:align>right</wp:align>
            </wp:positionH>
            <wp:positionV relativeFrom="paragraph">
              <wp:posOffset>3810</wp:posOffset>
            </wp:positionV>
            <wp:extent cx="2809240" cy="2077720"/>
            <wp:effectExtent l="0" t="0" r="0" b="0"/>
            <wp:wrapNone/>
            <wp:docPr id="1366586757"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t="16189"/>
                    <a:stretch>
                      <a:fillRect/>
                    </a:stretch>
                  </pic:blipFill>
                  <pic:spPr bwMode="auto">
                    <a:xfrm>
                      <a:off x="0" y="0"/>
                      <a:ext cx="2809240" cy="20777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E62FF">
        <w:rPr>
          <w:rFonts w:cs="Calibri"/>
          <w:b/>
          <w:bCs/>
          <w:color w:val="000000"/>
          <w:sz w:val="20"/>
          <w:szCs w:val="20"/>
          <w:lang w:val="es-PE" w:eastAsia="es-PE"/>
        </w:rPr>
        <w:t xml:space="preserve">                     </w:t>
      </w:r>
    </w:p>
    <w:p w14:paraId="7CB23C9D" w14:textId="47F737BD" w:rsidR="00B4429B" w:rsidRDefault="00B4429B" w:rsidP="00B24C38">
      <w:pPr>
        <w:spacing w:line="276" w:lineRule="auto"/>
        <w:rPr>
          <w:rFonts w:cs="Calibri"/>
          <w:b/>
          <w:bCs/>
          <w:color w:val="000000"/>
          <w:sz w:val="20"/>
          <w:szCs w:val="20"/>
          <w:lang w:val="es-PE" w:eastAsia="es-PE"/>
        </w:rPr>
      </w:pPr>
    </w:p>
    <w:p w14:paraId="6C5E39FF" w14:textId="3EEC3BF9" w:rsidR="00D0214A" w:rsidRDefault="00D0214A" w:rsidP="00B24C38">
      <w:pPr>
        <w:spacing w:line="276" w:lineRule="auto"/>
        <w:rPr>
          <w:rFonts w:cs="Calibri"/>
          <w:b/>
          <w:bCs/>
          <w:color w:val="000000"/>
          <w:sz w:val="20"/>
          <w:szCs w:val="20"/>
          <w:lang w:val="es-PE" w:eastAsia="es-PE"/>
        </w:rPr>
      </w:pPr>
    </w:p>
    <w:p w14:paraId="304F33F0" w14:textId="77777777" w:rsidR="00D0214A" w:rsidRDefault="00D0214A" w:rsidP="00B24C38">
      <w:pPr>
        <w:spacing w:line="276" w:lineRule="auto"/>
        <w:rPr>
          <w:rFonts w:cs="Calibri"/>
          <w:b/>
          <w:bCs/>
          <w:color w:val="000000"/>
          <w:sz w:val="20"/>
          <w:szCs w:val="20"/>
          <w:lang w:val="es-PE" w:eastAsia="es-PE"/>
        </w:rPr>
      </w:pPr>
    </w:p>
    <w:p w14:paraId="2A224A35" w14:textId="3E5FFE3B" w:rsidR="00D0214A" w:rsidRDefault="00D0214A" w:rsidP="00B24C38">
      <w:pPr>
        <w:spacing w:line="276" w:lineRule="auto"/>
        <w:rPr>
          <w:rFonts w:cs="Calibri"/>
          <w:b/>
          <w:bCs/>
          <w:color w:val="000000"/>
          <w:sz w:val="20"/>
          <w:szCs w:val="20"/>
          <w:lang w:val="es-PE" w:eastAsia="es-PE"/>
        </w:rPr>
      </w:pPr>
    </w:p>
    <w:p w14:paraId="1E8B7A3A" w14:textId="615E06E1" w:rsidR="00D0214A" w:rsidRDefault="00D0214A" w:rsidP="00B24C38">
      <w:pPr>
        <w:spacing w:line="276" w:lineRule="auto"/>
        <w:rPr>
          <w:rFonts w:cs="Calibri"/>
          <w:b/>
          <w:bCs/>
          <w:color w:val="000000"/>
          <w:sz w:val="20"/>
          <w:szCs w:val="20"/>
          <w:lang w:val="es-PE" w:eastAsia="es-PE"/>
        </w:rPr>
      </w:pPr>
    </w:p>
    <w:p w14:paraId="1C67929A" w14:textId="102EB8E6" w:rsidR="00D0214A" w:rsidRDefault="00D0214A" w:rsidP="00B24C38">
      <w:pPr>
        <w:spacing w:line="276" w:lineRule="auto"/>
        <w:rPr>
          <w:rFonts w:cs="Calibri"/>
          <w:b/>
          <w:bCs/>
          <w:color w:val="000000"/>
          <w:sz w:val="20"/>
          <w:szCs w:val="20"/>
          <w:lang w:val="es-PE" w:eastAsia="es-PE"/>
        </w:rPr>
      </w:pPr>
    </w:p>
    <w:p w14:paraId="7863122C" w14:textId="21A5226C" w:rsidR="00D0214A" w:rsidRDefault="00D0214A" w:rsidP="00B24C38">
      <w:pPr>
        <w:spacing w:line="276" w:lineRule="auto"/>
        <w:rPr>
          <w:rFonts w:cs="Calibri"/>
          <w:b/>
          <w:bCs/>
          <w:color w:val="000000"/>
          <w:sz w:val="20"/>
          <w:szCs w:val="20"/>
          <w:lang w:val="es-PE" w:eastAsia="es-PE"/>
        </w:rPr>
      </w:pPr>
    </w:p>
    <w:p w14:paraId="6F265C04" w14:textId="5C320D67" w:rsidR="00D0214A" w:rsidRDefault="00D0214A" w:rsidP="00B24C38">
      <w:pPr>
        <w:spacing w:line="276" w:lineRule="auto"/>
        <w:rPr>
          <w:rFonts w:cs="Calibri"/>
          <w:b/>
          <w:bCs/>
          <w:color w:val="000000"/>
          <w:sz w:val="20"/>
          <w:szCs w:val="20"/>
          <w:lang w:val="es-PE" w:eastAsia="es-PE"/>
        </w:rPr>
      </w:pPr>
    </w:p>
    <w:p w14:paraId="2CE5863A" w14:textId="52BE4375" w:rsidR="00D0214A" w:rsidRDefault="00D0214A" w:rsidP="00B24C38">
      <w:pPr>
        <w:spacing w:line="276" w:lineRule="auto"/>
        <w:rPr>
          <w:rFonts w:cs="Calibri"/>
          <w:b/>
          <w:bCs/>
          <w:color w:val="000000"/>
          <w:sz w:val="20"/>
          <w:szCs w:val="20"/>
          <w:lang w:val="es-PE" w:eastAsia="es-PE"/>
        </w:rPr>
      </w:pPr>
    </w:p>
    <w:p w14:paraId="52443895" w14:textId="1436A6B5" w:rsidR="00D0214A" w:rsidRDefault="00D0214A" w:rsidP="00B24C38">
      <w:pPr>
        <w:spacing w:line="276" w:lineRule="auto"/>
        <w:rPr>
          <w:rFonts w:cs="Calibri"/>
          <w:b/>
          <w:bCs/>
          <w:color w:val="000000"/>
          <w:sz w:val="20"/>
          <w:szCs w:val="20"/>
          <w:lang w:val="es-PE" w:eastAsia="es-PE"/>
        </w:rPr>
      </w:pPr>
    </w:p>
    <w:p w14:paraId="6FA2E954" w14:textId="675F6720" w:rsidR="00D0214A" w:rsidRDefault="00D0214A" w:rsidP="00B24C38">
      <w:pPr>
        <w:spacing w:line="276" w:lineRule="auto"/>
        <w:rPr>
          <w:rFonts w:cs="Calibri"/>
          <w:b/>
          <w:bCs/>
          <w:color w:val="000000"/>
          <w:sz w:val="20"/>
          <w:szCs w:val="20"/>
          <w:lang w:val="es-PE" w:eastAsia="es-PE"/>
        </w:rPr>
      </w:pPr>
    </w:p>
    <w:p w14:paraId="01167115" w14:textId="522FECF5" w:rsidR="00D0214A" w:rsidRDefault="00D0214A" w:rsidP="00B24C38">
      <w:pPr>
        <w:spacing w:line="276" w:lineRule="auto"/>
        <w:rPr>
          <w:rFonts w:cs="Calibri"/>
          <w:b/>
          <w:bCs/>
          <w:color w:val="000000"/>
          <w:sz w:val="20"/>
          <w:szCs w:val="20"/>
          <w:lang w:val="es-PE" w:eastAsia="es-PE"/>
        </w:rPr>
      </w:pPr>
    </w:p>
    <w:p w14:paraId="032321DC" w14:textId="3E5634DA" w:rsidR="00D0214A" w:rsidRDefault="00D0214A" w:rsidP="00B24C38">
      <w:pPr>
        <w:spacing w:line="276" w:lineRule="auto"/>
        <w:rPr>
          <w:rFonts w:cs="Calibri"/>
          <w:b/>
          <w:bCs/>
          <w:color w:val="000000"/>
          <w:sz w:val="20"/>
          <w:szCs w:val="20"/>
          <w:lang w:val="es-PE" w:eastAsia="es-PE"/>
        </w:rPr>
      </w:pPr>
    </w:p>
    <w:p w14:paraId="4D3F2089" w14:textId="53BB534E" w:rsidR="00E97DF3" w:rsidRDefault="00B52513" w:rsidP="00B24C38">
      <w:pPr>
        <w:spacing w:line="276" w:lineRule="auto"/>
        <w:rPr>
          <w:rFonts w:cs="Calibri"/>
          <w:b/>
          <w:bCs/>
          <w:color w:val="000000"/>
          <w:sz w:val="20"/>
          <w:szCs w:val="20"/>
          <w:lang w:val="es-PE" w:eastAsia="es-PE"/>
        </w:rPr>
      </w:pPr>
      <w:r w:rsidRPr="00F8108A">
        <w:rPr>
          <w:rFonts w:cs="Calibri"/>
          <w:b/>
          <w:bCs/>
          <w:color w:val="000000"/>
          <w:sz w:val="20"/>
          <w:szCs w:val="20"/>
          <w:lang w:val="es-PE" w:eastAsia="es-PE"/>
        </w:rPr>
        <w:t>Rentabilidad Nominal Anual de</w:t>
      </w:r>
      <w:r w:rsidR="0052667A">
        <w:rPr>
          <w:rFonts w:cs="Calibri"/>
          <w:b/>
          <w:bCs/>
          <w:color w:val="000000"/>
          <w:sz w:val="20"/>
          <w:szCs w:val="20"/>
          <w:lang w:val="es-PE" w:eastAsia="es-PE"/>
        </w:rPr>
        <w:t xml:space="preserve">l </w:t>
      </w:r>
      <w:r w:rsidRPr="00F8108A">
        <w:rPr>
          <w:rFonts w:cs="Calibri"/>
          <w:b/>
          <w:bCs/>
          <w:color w:val="000000"/>
          <w:sz w:val="20"/>
          <w:szCs w:val="20"/>
          <w:lang w:val="es-PE" w:eastAsia="es-PE"/>
        </w:rPr>
        <w:t>Fondo de</w:t>
      </w:r>
      <w:r w:rsidR="00633AE6">
        <w:rPr>
          <w:rFonts w:cs="Calibri"/>
          <w:b/>
          <w:bCs/>
          <w:color w:val="000000"/>
          <w:sz w:val="20"/>
          <w:szCs w:val="20"/>
          <w:lang w:val="es-PE" w:eastAsia="es-PE"/>
        </w:rPr>
        <w:t xml:space="preserve"> Pensiones</w:t>
      </w:r>
      <w:r w:rsidR="00A963C7">
        <w:rPr>
          <w:rFonts w:cs="Calibri"/>
          <w:b/>
          <w:bCs/>
          <w:color w:val="000000"/>
          <w:sz w:val="20"/>
          <w:szCs w:val="20"/>
          <w:lang w:val="es-PE" w:eastAsia="es-PE"/>
        </w:rPr>
        <w:tab/>
      </w:r>
      <w:r w:rsidR="00E97DF3">
        <w:rPr>
          <w:rFonts w:cs="Calibri"/>
          <w:b/>
          <w:bCs/>
          <w:color w:val="000000"/>
          <w:sz w:val="20"/>
          <w:szCs w:val="20"/>
          <w:lang w:val="es-PE" w:eastAsia="es-PE"/>
        </w:rPr>
        <w:t xml:space="preserve">      </w:t>
      </w:r>
      <w:r w:rsidR="00633AE6">
        <w:rPr>
          <w:rFonts w:cs="Calibri"/>
          <w:b/>
          <w:bCs/>
          <w:color w:val="000000"/>
          <w:sz w:val="20"/>
          <w:szCs w:val="20"/>
          <w:lang w:val="es-PE" w:eastAsia="es-PE"/>
        </w:rPr>
        <w:t>R</w:t>
      </w:r>
      <w:r w:rsidR="00A963C7" w:rsidRPr="00F8108A">
        <w:rPr>
          <w:rFonts w:cs="Calibri"/>
          <w:b/>
          <w:bCs/>
          <w:color w:val="000000"/>
          <w:sz w:val="20"/>
          <w:szCs w:val="20"/>
          <w:lang w:val="es-PE" w:eastAsia="es-PE"/>
        </w:rPr>
        <w:t>entabilidad Nominal Anual de</w:t>
      </w:r>
      <w:r w:rsidR="00A963C7">
        <w:rPr>
          <w:rFonts w:cs="Calibri"/>
          <w:b/>
          <w:bCs/>
          <w:color w:val="000000"/>
          <w:sz w:val="20"/>
          <w:szCs w:val="20"/>
          <w:lang w:val="es-PE" w:eastAsia="es-PE"/>
        </w:rPr>
        <w:t>l</w:t>
      </w:r>
      <w:r w:rsidR="00A963C7" w:rsidRPr="00F8108A">
        <w:rPr>
          <w:rFonts w:cs="Calibri"/>
          <w:b/>
          <w:bCs/>
          <w:color w:val="000000"/>
          <w:sz w:val="20"/>
          <w:szCs w:val="20"/>
          <w:lang w:val="es-PE" w:eastAsia="es-PE"/>
        </w:rPr>
        <w:t xml:space="preserve"> Fondo de</w:t>
      </w:r>
      <w:r w:rsidR="00633AE6">
        <w:rPr>
          <w:rFonts w:cs="Calibri"/>
          <w:b/>
          <w:bCs/>
          <w:color w:val="000000"/>
          <w:sz w:val="20"/>
          <w:szCs w:val="20"/>
          <w:lang w:val="es-PE" w:eastAsia="es-PE"/>
        </w:rPr>
        <w:t xml:space="preserve"> Pensiones</w:t>
      </w:r>
      <w:r w:rsidRPr="00F8108A">
        <w:rPr>
          <w:rFonts w:cs="Calibri"/>
          <w:b/>
          <w:bCs/>
          <w:color w:val="000000"/>
          <w:sz w:val="20"/>
          <w:szCs w:val="20"/>
          <w:lang w:val="es-PE" w:eastAsia="es-PE"/>
        </w:rPr>
        <w:t xml:space="preserve"> </w:t>
      </w:r>
    </w:p>
    <w:p w14:paraId="47F04EBD" w14:textId="5E2A0BEC" w:rsidR="00712840" w:rsidRPr="00413136" w:rsidRDefault="00E97DF3" w:rsidP="00B24C38">
      <w:pPr>
        <w:spacing w:line="276" w:lineRule="auto"/>
        <w:rPr>
          <w:rFonts w:cs="Calibri"/>
          <w:b/>
          <w:bCs/>
          <w:color w:val="000000"/>
          <w:sz w:val="20"/>
          <w:szCs w:val="20"/>
          <w:lang w:val="es-PE" w:eastAsia="es-PE"/>
        </w:rPr>
      </w:pPr>
      <w:r>
        <w:rPr>
          <w:rFonts w:cs="Calibri"/>
          <w:b/>
          <w:bCs/>
          <w:color w:val="000000"/>
          <w:sz w:val="20"/>
          <w:szCs w:val="20"/>
          <w:lang w:val="es-PE" w:eastAsia="es-PE"/>
        </w:rPr>
        <w:t xml:space="preserve">     </w:t>
      </w:r>
      <w:r>
        <w:rPr>
          <w:rFonts w:cs="Calibri"/>
          <w:b/>
          <w:bCs/>
          <w:color w:val="000000"/>
          <w:sz w:val="20"/>
          <w:szCs w:val="20"/>
          <w:lang w:val="es-PE" w:eastAsia="es-PE"/>
        </w:rPr>
        <w:tab/>
      </w:r>
      <w:r w:rsidR="00897834">
        <w:rPr>
          <w:rFonts w:cs="Calibri"/>
          <w:b/>
          <w:bCs/>
          <w:color w:val="000000"/>
          <w:sz w:val="20"/>
          <w:szCs w:val="20"/>
          <w:lang w:val="es-PE" w:eastAsia="es-PE"/>
        </w:rPr>
        <w:t xml:space="preserve">             </w:t>
      </w:r>
      <w:r w:rsidR="00B52513" w:rsidRPr="00F8108A">
        <w:rPr>
          <w:rFonts w:cs="Calibri"/>
          <w:b/>
          <w:bCs/>
          <w:color w:val="000000"/>
          <w:sz w:val="20"/>
          <w:szCs w:val="20"/>
          <w:lang w:val="es-PE" w:eastAsia="es-PE"/>
        </w:rPr>
        <w:t>Tipo 2</w:t>
      </w:r>
      <w:r w:rsidR="00A963C7">
        <w:rPr>
          <w:rFonts w:cs="Calibri"/>
          <w:b/>
          <w:bCs/>
          <w:color w:val="000000"/>
          <w:sz w:val="20"/>
          <w:szCs w:val="20"/>
          <w:lang w:val="es-PE" w:eastAsia="es-PE"/>
        </w:rPr>
        <w:t xml:space="preserve"> </w:t>
      </w:r>
      <w:r>
        <w:rPr>
          <w:rFonts w:cs="Calibri"/>
          <w:b/>
          <w:bCs/>
          <w:color w:val="000000"/>
          <w:sz w:val="20"/>
          <w:szCs w:val="20"/>
          <w:lang w:val="es-PE" w:eastAsia="es-PE"/>
        </w:rPr>
        <w:t xml:space="preserve">/ (En </w:t>
      </w:r>
      <w:proofErr w:type="gramStart"/>
      <w:r>
        <w:rPr>
          <w:rFonts w:cs="Calibri"/>
          <w:b/>
          <w:bCs/>
          <w:color w:val="000000"/>
          <w:sz w:val="20"/>
          <w:szCs w:val="20"/>
          <w:lang w:val="es-PE" w:eastAsia="es-PE"/>
        </w:rPr>
        <w:t>porcentaje)</w:t>
      </w:r>
      <w:r w:rsidR="001A2F14">
        <w:rPr>
          <w:rFonts w:cs="Calibri"/>
          <w:b/>
          <w:bCs/>
          <w:color w:val="000000"/>
          <w:sz w:val="20"/>
          <w:szCs w:val="20"/>
          <w:lang w:val="es-PE" w:eastAsia="es-PE"/>
        </w:rPr>
        <w:t xml:space="preserve">   </w:t>
      </w:r>
      <w:proofErr w:type="gramEnd"/>
      <w:r w:rsidR="001A2F14">
        <w:rPr>
          <w:rFonts w:cs="Calibri"/>
          <w:b/>
          <w:bCs/>
          <w:color w:val="000000"/>
          <w:sz w:val="20"/>
          <w:szCs w:val="20"/>
          <w:lang w:val="es-PE" w:eastAsia="es-PE"/>
        </w:rPr>
        <w:t xml:space="preserve">  </w:t>
      </w:r>
      <w:r w:rsidR="00A963C7">
        <w:rPr>
          <w:rFonts w:cs="Calibri"/>
          <w:b/>
          <w:bCs/>
          <w:color w:val="000000"/>
          <w:sz w:val="20"/>
          <w:szCs w:val="20"/>
          <w:lang w:val="es-PE" w:eastAsia="es-PE"/>
        </w:rPr>
        <w:t xml:space="preserve">                                                    </w:t>
      </w:r>
      <w:r w:rsidR="00A963C7" w:rsidRPr="00F8108A">
        <w:rPr>
          <w:rFonts w:cs="Calibri"/>
          <w:b/>
          <w:bCs/>
          <w:color w:val="000000"/>
          <w:sz w:val="20"/>
          <w:szCs w:val="20"/>
          <w:lang w:val="es-PE" w:eastAsia="es-PE"/>
        </w:rPr>
        <w:t xml:space="preserve">Tipo </w:t>
      </w:r>
      <w:r w:rsidR="00A963C7">
        <w:rPr>
          <w:rFonts w:cs="Calibri"/>
          <w:b/>
          <w:bCs/>
          <w:color w:val="000000"/>
          <w:sz w:val="20"/>
          <w:szCs w:val="20"/>
          <w:lang w:val="es-PE" w:eastAsia="es-PE"/>
        </w:rPr>
        <w:t xml:space="preserve">3 </w:t>
      </w:r>
      <w:r>
        <w:rPr>
          <w:rFonts w:cs="Calibri"/>
          <w:b/>
          <w:bCs/>
          <w:color w:val="000000"/>
          <w:sz w:val="20"/>
          <w:szCs w:val="20"/>
          <w:lang w:val="es-PE" w:eastAsia="es-PE"/>
        </w:rPr>
        <w:t>/ (En porcentaje)</w:t>
      </w:r>
      <w:r w:rsidR="00A963C7">
        <w:rPr>
          <w:rFonts w:cs="Calibri"/>
          <w:b/>
          <w:bCs/>
          <w:color w:val="000000"/>
          <w:sz w:val="20"/>
          <w:szCs w:val="20"/>
          <w:lang w:val="es-PE" w:eastAsia="es-PE"/>
        </w:rPr>
        <w:t xml:space="preserve">  </w:t>
      </w:r>
      <w:r w:rsidR="0086234E" w:rsidRPr="00F8108A">
        <w:t xml:space="preserve">    </w:t>
      </w:r>
    </w:p>
    <w:p w14:paraId="3FAB905D" w14:textId="5B186F93" w:rsidR="00413136" w:rsidRDefault="00D0214A" w:rsidP="00B24C38">
      <w:pPr>
        <w:spacing w:line="276" w:lineRule="auto"/>
        <w:rPr>
          <w:noProof/>
        </w:rPr>
      </w:pPr>
      <w:r>
        <w:rPr>
          <w:noProof/>
        </w:rPr>
        <w:drawing>
          <wp:anchor distT="0" distB="0" distL="114300" distR="114300" simplePos="0" relativeHeight="251663360" behindDoc="0" locked="0" layoutInCell="1" allowOverlap="1" wp14:anchorId="7669BA97" wp14:editId="5B5A72C4">
            <wp:simplePos x="0" y="0"/>
            <wp:positionH relativeFrom="margin">
              <wp:align>left</wp:align>
            </wp:positionH>
            <wp:positionV relativeFrom="paragraph">
              <wp:posOffset>91440</wp:posOffset>
            </wp:positionV>
            <wp:extent cx="2644140" cy="2203450"/>
            <wp:effectExtent l="0" t="0" r="3810" b="6350"/>
            <wp:wrapNone/>
            <wp:docPr id="1519713806"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rotWithShape="1">
                    <a:blip r:embed="rId21" cstate="print">
                      <a:extLst>
                        <a:ext uri="{28A0092B-C50C-407E-A947-70E740481C1C}">
                          <a14:useLocalDpi xmlns:a14="http://schemas.microsoft.com/office/drawing/2010/main" val="0"/>
                        </a:ext>
                      </a:extLst>
                    </a:blip>
                    <a:srcRect t="13765" b="4201"/>
                    <a:stretch>
                      <a:fillRect/>
                    </a:stretch>
                  </pic:blipFill>
                  <pic:spPr bwMode="auto">
                    <a:xfrm>
                      <a:off x="0" y="0"/>
                      <a:ext cx="2644140" cy="2203646"/>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val="es-ES_tradnl"/>
        </w:rPr>
        <w:drawing>
          <wp:anchor distT="0" distB="0" distL="114300" distR="114300" simplePos="0" relativeHeight="251662336" behindDoc="0" locked="0" layoutInCell="1" allowOverlap="1" wp14:anchorId="2CF5CAB4" wp14:editId="3AD36870">
            <wp:simplePos x="0" y="0"/>
            <wp:positionH relativeFrom="column">
              <wp:posOffset>2653665</wp:posOffset>
            </wp:positionH>
            <wp:positionV relativeFrom="paragraph">
              <wp:posOffset>75614</wp:posOffset>
            </wp:positionV>
            <wp:extent cx="2804160" cy="2221523"/>
            <wp:effectExtent l="0" t="0" r="0" b="7620"/>
            <wp:wrapNone/>
            <wp:docPr id="2062069159"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rotWithShape="1">
                    <a:blip r:embed="rId22" cstate="print">
                      <a:extLst>
                        <a:ext uri="{28A0092B-C50C-407E-A947-70E740481C1C}">
                          <a14:useLocalDpi xmlns:a14="http://schemas.microsoft.com/office/drawing/2010/main" val="0"/>
                        </a:ext>
                      </a:extLst>
                    </a:blip>
                    <a:srcRect t="11905"/>
                    <a:stretch>
                      <a:fillRect/>
                    </a:stretch>
                  </pic:blipFill>
                  <pic:spPr bwMode="auto">
                    <a:xfrm>
                      <a:off x="0" y="0"/>
                      <a:ext cx="2807986" cy="2224554"/>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17FA4">
        <w:rPr>
          <w:noProof/>
        </w:rPr>
        <w:t xml:space="preserve">  </w:t>
      </w:r>
    </w:p>
    <w:p w14:paraId="299368EE" w14:textId="3D76C610" w:rsidR="00ED4602" w:rsidRDefault="00C17FA4" w:rsidP="00B24C38">
      <w:pPr>
        <w:spacing w:line="276" w:lineRule="auto"/>
        <w:jc w:val="center"/>
        <w:rPr>
          <w:noProof/>
        </w:rPr>
      </w:pPr>
      <w:r>
        <w:rPr>
          <w:noProof/>
        </w:rPr>
        <w:t xml:space="preserve">   </w:t>
      </w:r>
    </w:p>
    <w:p w14:paraId="11AC3E2B" w14:textId="6F9C089C" w:rsidR="00261710" w:rsidRDefault="00261710" w:rsidP="00B24C38">
      <w:pPr>
        <w:spacing w:line="276" w:lineRule="auto"/>
      </w:pPr>
    </w:p>
    <w:p w14:paraId="2AC37079" w14:textId="7F560744" w:rsidR="00D0214A" w:rsidRDefault="00D0214A" w:rsidP="00B24C38">
      <w:pPr>
        <w:spacing w:line="276" w:lineRule="auto"/>
      </w:pPr>
    </w:p>
    <w:p w14:paraId="794ABFE0" w14:textId="77777777" w:rsidR="00D0214A" w:rsidRDefault="00D0214A" w:rsidP="00B24C38">
      <w:pPr>
        <w:spacing w:line="276" w:lineRule="auto"/>
      </w:pPr>
    </w:p>
    <w:p w14:paraId="512F78F6" w14:textId="3F0BF9ED" w:rsidR="00D0214A" w:rsidRDefault="00D0214A" w:rsidP="00B24C38">
      <w:pPr>
        <w:spacing w:line="276" w:lineRule="auto"/>
      </w:pPr>
    </w:p>
    <w:p w14:paraId="30D202EB" w14:textId="62936CEC" w:rsidR="00D0214A" w:rsidRDefault="00D0214A" w:rsidP="00B24C38">
      <w:pPr>
        <w:spacing w:line="276" w:lineRule="auto"/>
      </w:pPr>
    </w:p>
    <w:p w14:paraId="77D13D70" w14:textId="77777777" w:rsidR="00D0214A" w:rsidRDefault="00D0214A" w:rsidP="00B24C38">
      <w:pPr>
        <w:spacing w:line="276" w:lineRule="auto"/>
      </w:pPr>
    </w:p>
    <w:p w14:paraId="71CEA077" w14:textId="3723C72A" w:rsidR="00D0214A" w:rsidRDefault="00D0214A" w:rsidP="00B24C38">
      <w:pPr>
        <w:spacing w:line="276" w:lineRule="auto"/>
      </w:pPr>
    </w:p>
    <w:p w14:paraId="4EB52761" w14:textId="7CA6EB54" w:rsidR="00D0214A" w:rsidRDefault="00D0214A" w:rsidP="00B24C38">
      <w:pPr>
        <w:spacing w:line="276" w:lineRule="auto"/>
      </w:pPr>
    </w:p>
    <w:p w14:paraId="77C39616" w14:textId="77777777" w:rsidR="00D0214A" w:rsidRDefault="00D0214A" w:rsidP="00B24C38">
      <w:pPr>
        <w:spacing w:line="276" w:lineRule="auto"/>
      </w:pPr>
    </w:p>
    <w:p w14:paraId="307E5C84" w14:textId="77777777" w:rsidR="00D0214A" w:rsidRDefault="00D0214A" w:rsidP="00B24C38">
      <w:pPr>
        <w:spacing w:line="276" w:lineRule="auto"/>
      </w:pPr>
    </w:p>
    <w:p w14:paraId="4DAC6653" w14:textId="77777777" w:rsidR="00D0214A" w:rsidRDefault="00D0214A" w:rsidP="00B24C38">
      <w:pPr>
        <w:spacing w:line="276" w:lineRule="auto"/>
      </w:pPr>
    </w:p>
    <w:p w14:paraId="48C7E0AF" w14:textId="77777777" w:rsidR="00B24C38" w:rsidRDefault="00B24C38" w:rsidP="00B24C38">
      <w:pPr>
        <w:pStyle w:val="Ttulo3"/>
        <w:spacing w:line="276" w:lineRule="auto"/>
        <w:jc w:val="left"/>
      </w:pPr>
    </w:p>
    <w:p w14:paraId="42E86693" w14:textId="00F16BF9" w:rsidR="002B6F00" w:rsidRDefault="00B24C38" w:rsidP="00B24C38">
      <w:pPr>
        <w:pStyle w:val="Ttulo3"/>
        <w:spacing w:line="276" w:lineRule="auto"/>
        <w:jc w:val="left"/>
      </w:pPr>
      <w:r>
        <w:t>8</w:t>
      </w:r>
      <w:r w:rsidR="00D9129A" w:rsidRPr="00F8108A">
        <w:t xml:space="preserve">.  </w:t>
      </w:r>
      <w:r w:rsidR="006D4C32" w:rsidRPr="00F8108A">
        <w:t>Indicadores del SPP</w:t>
      </w:r>
    </w:p>
    <w:p w14:paraId="6A55AC9C" w14:textId="4809B2C2" w:rsidR="00D0214A" w:rsidRDefault="00D0214A" w:rsidP="00B24C38">
      <w:pPr>
        <w:spacing w:line="276" w:lineRule="auto"/>
        <w:rPr>
          <w:lang w:val="es-ES_tradnl"/>
        </w:rPr>
      </w:pPr>
    </w:p>
    <w:p w14:paraId="72EC5DC8" w14:textId="3E1983DC" w:rsidR="00ED4602" w:rsidRDefault="00413136" w:rsidP="00B24C38">
      <w:pPr>
        <w:spacing w:line="276" w:lineRule="auto"/>
        <w:jc w:val="both"/>
        <w:rPr>
          <w:rFonts w:cs="Calibri"/>
          <w:color w:val="000000"/>
          <w:szCs w:val="22"/>
          <w:lang w:val="es-PE" w:eastAsia="es-PE"/>
        </w:rPr>
      </w:pPr>
      <w:r w:rsidRPr="00413136">
        <w:rPr>
          <w:rFonts w:cs="Calibri"/>
          <w:color w:val="000000"/>
          <w:szCs w:val="22"/>
          <w:lang w:val="es-PE" w:eastAsia="es-PE"/>
        </w:rPr>
        <w:t xml:space="preserve">En </w:t>
      </w:r>
      <w:r w:rsidR="00E75755">
        <w:rPr>
          <w:rFonts w:cs="Calibri"/>
          <w:color w:val="000000"/>
          <w:szCs w:val="22"/>
          <w:lang w:val="es-PE" w:eastAsia="es-PE"/>
        </w:rPr>
        <w:t>juni</w:t>
      </w:r>
      <w:r w:rsidR="001011CD">
        <w:rPr>
          <w:rFonts w:cs="Calibri"/>
          <w:color w:val="000000"/>
          <w:szCs w:val="22"/>
          <w:lang w:val="es-PE" w:eastAsia="es-PE"/>
        </w:rPr>
        <w:t>o</w:t>
      </w:r>
      <w:r w:rsidRPr="00413136">
        <w:rPr>
          <w:rFonts w:cs="Calibri"/>
          <w:color w:val="000000"/>
          <w:szCs w:val="22"/>
          <w:lang w:val="es-PE" w:eastAsia="es-PE"/>
        </w:rPr>
        <w:t xml:space="preserve"> de </w:t>
      </w:r>
      <w:r w:rsidR="001011CD">
        <w:rPr>
          <w:rFonts w:cs="Calibri"/>
          <w:color w:val="000000"/>
          <w:szCs w:val="22"/>
          <w:lang w:val="es-PE" w:eastAsia="es-PE"/>
        </w:rPr>
        <w:t>2026</w:t>
      </w:r>
      <w:r w:rsidRPr="00413136">
        <w:rPr>
          <w:rFonts w:cs="Calibri"/>
          <w:color w:val="000000"/>
          <w:szCs w:val="22"/>
          <w:lang w:val="es-PE" w:eastAsia="es-PE"/>
        </w:rPr>
        <w:t xml:space="preserve">, la utilidad operativa anualizada del SPP </w:t>
      </w:r>
      <w:r w:rsidR="00F861A5">
        <w:rPr>
          <w:rFonts w:cs="Calibri"/>
          <w:color w:val="000000"/>
          <w:szCs w:val="22"/>
          <w:lang w:val="es-PE" w:eastAsia="es-PE"/>
        </w:rPr>
        <w:t>ascendió</w:t>
      </w:r>
      <w:r w:rsidRPr="00413136">
        <w:rPr>
          <w:rFonts w:cs="Calibri"/>
          <w:color w:val="000000"/>
          <w:szCs w:val="22"/>
          <w:lang w:val="es-PE" w:eastAsia="es-PE"/>
        </w:rPr>
        <w:t xml:space="preserve"> a S/ 5</w:t>
      </w:r>
      <w:r w:rsidR="00475A4B">
        <w:rPr>
          <w:rFonts w:cs="Calibri"/>
          <w:color w:val="000000"/>
          <w:szCs w:val="22"/>
          <w:lang w:val="es-PE" w:eastAsia="es-PE"/>
        </w:rPr>
        <w:t>8</w:t>
      </w:r>
      <w:r w:rsidR="00F861A5">
        <w:rPr>
          <w:rFonts w:cs="Calibri"/>
          <w:color w:val="000000"/>
          <w:szCs w:val="22"/>
          <w:lang w:val="es-PE" w:eastAsia="es-PE"/>
        </w:rPr>
        <w:t>0</w:t>
      </w:r>
      <w:r w:rsidRPr="00413136">
        <w:rPr>
          <w:rFonts w:cs="Calibri"/>
          <w:color w:val="000000"/>
          <w:szCs w:val="22"/>
          <w:lang w:val="es-PE" w:eastAsia="es-PE"/>
        </w:rPr>
        <w:t>,</w:t>
      </w:r>
      <w:r w:rsidR="00F861A5">
        <w:rPr>
          <w:rFonts w:cs="Calibri"/>
          <w:color w:val="000000"/>
          <w:szCs w:val="22"/>
          <w:lang w:val="es-PE" w:eastAsia="es-PE"/>
        </w:rPr>
        <w:t>0</w:t>
      </w:r>
      <w:r w:rsidRPr="00413136">
        <w:rPr>
          <w:rFonts w:cs="Calibri"/>
          <w:color w:val="000000"/>
          <w:szCs w:val="22"/>
          <w:lang w:val="es-PE" w:eastAsia="es-PE"/>
        </w:rPr>
        <w:t xml:space="preserve"> millones, cifra mayor en </w:t>
      </w:r>
      <w:r w:rsidR="00F861A5">
        <w:rPr>
          <w:rFonts w:cs="Calibri"/>
          <w:color w:val="000000"/>
          <w:szCs w:val="22"/>
          <w:lang w:val="es-PE" w:eastAsia="es-PE"/>
        </w:rPr>
        <w:t>5,1</w:t>
      </w:r>
      <w:r w:rsidRPr="00413136">
        <w:rPr>
          <w:rFonts w:cs="Calibri"/>
          <w:color w:val="000000"/>
          <w:szCs w:val="22"/>
          <w:lang w:val="es-PE" w:eastAsia="es-PE"/>
        </w:rPr>
        <w:t>% a la</w:t>
      </w:r>
      <w:r w:rsidR="00475A4B">
        <w:rPr>
          <w:rFonts w:cs="Calibri"/>
          <w:color w:val="000000"/>
          <w:szCs w:val="22"/>
          <w:lang w:val="es-PE" w:eastAsia="es-PE"/>
        </w:rPr>
        <w:t xml:space="preserve"> </w:t>
      </w:r>
      <w:r w:rsidRPr="00413136">
        <w:rPr>
          <w:rFonts w:cs="Calibri"/>
          <w:color w:val="000000"/>
          <w:szCs w:val="22"/>
          <w:lang w:val="es-PE" w:eastAsia="es-PE"/>
        </w:rPr>
        <w:t xml:space="preserve">registrada en </w:t>
      </w:r>
      <w:r w:rsidR="00F861A5">
        <w:rPr>
          <w:rFonts w:cs="Calibri"/>
          <w:color w:val="000000"/>
          <w:szCs w:val="22"/>
          <w:lang w:val="es-PE" w:eastAsia="es-PE"/>
        </w:rPr>
        <w:t>junio</w:t>
      </w:r>
      <w:r w:rsidRPr="00413136">
        <w:rPr>
          <w:rFonts w:cs="Calibri"/>
          <w:color w:val="000000"/>
          <w:szCs w:val="22"/>
          <w:lang w:val="es-PE" w:eastAsia="es-PE"/>
        </w:rPr>
        <w:t xml:space="preserve"> de 202</w:t>
      </w:r>
      <w:r w:rsidR="00475A4B">
        <w:rPr>
          <w:rFonts w:cs="Calibri"/>
          <w:color w:val="000000"/>
          <w:szCs w:val="22"/>
          <w:lang w:val="es-PE" w:eastAsia="es-PE"/>
        </w:rPr>
        <w:t>5</w:t>
      </w:r>
      <w:r w:rsidRPr="00413136">
        <w:rPr>
          <w:rFonts w:cs="Calibri"/>
          <w:color w:val="000000"/>
          <w:szCs w:val="22"/>
          <w:lang w:val="es-PE" w:eastAsia="es-PE"/>
        </w:rPr>
        <w:t xml:space="preserve"> (S/</w:t>
      </w:r>
      <w:r w:rsidR="001234DD">
        <w:rPr>
          <w:rFonts w:cs="Calibri"/>
          <w:color w:val="000000"/>
          <w:szCs w:val="22"/>
          <w:lang w:val="es-PE" w:eastAsia="es-PE"/>
        </w:rPr>
        <w:t xml:space="preserve"> </w:t>
      </w:r>
      <w:r w:rsidRPr="00413136">
        <w:rPr>
          <w:rFonts w:cs="Calibri"/>
          <w:color w:val="000000"/>
          <w:szCs w:val="22"/>
          <w:lang w:val="es-PE" w:eastAsia="es-PE"/>
        </w:rPr>
        <w:t>5</w:t>
      </w:r>
      <w:r w:rsidR="00475A4B">
        <w:rPr>
          <w:rFonts w:cs="Calibri"/>
          <w:color w:val="000000"/>
          <w:szCs w:val="22"/>
          <w:lang w:val="es-PE" w:eastAsia="es-PE"/>
        </w:rPr>
        <w:t>5</w:t>
      </w:r>
      <w:r w:rsidR="00F861A5">
        <w:rPr>
          <w:rFonts w:cs="Calibri"/>
          <w:color w:val="000000"/>
          <w:szCs w:val="22"/>
          <w:lang w:val="es-PE" w:eastAsia="es-PE"/>
        </w:rPr>
        <w:t>1</w:t>
      </w:r>
      <w:r w:rsidRPr="00413136">
        <w:rPr>
          <w:rFonts w:cs="Calibri"/>
          <w:color w:val="000000"/>
          <w:szCs w:val="22"/>
          <w:lang w:val="es-PE" w:eastAsia="es-PE"/>
        </w:rPr>
        <w:t>,</w:t>
      </w:r>
      <w:r w:rsidR="00F861A5">
        <w:rPr>
          <w:rFonts w:cs="Calibri"/>
          <w:color w:val="000000"/>
          <w:szCs w:val="22"/>
          <w:lang w:val="es-PE" w:eastAsia="es-PE"/>
        </w:rPr>
        <w:t>9</w:t>
      </w:r>
      <w:r w:rsidRPr="00413136">
        <w:rPr>
          <w:rFonts w:cs="Calibri"/>
          <w:color w:val="000000"/>
          <w:szCs w:val="22"/>
          <w:lang w:val="es-PE" w:eastAsia="es-PE"/>
        </w:rPr>
        <w:t xml:space="preserve"> millones)</w:t>
      </w:r>
      <w:r w:rsidR="001234DD">
        <w:rPr>
          <w:rFonts w:cs="Calibri"/>
          <w:color w:val="000000"/>
          <w:szCs w:val="22"/>
          <w:lang w:val="es-PE" w:eastAsia="es-PE"/>
        </w:rPr>
        <w:t xml:space="preserve">. </w:t>
      </w:r>
      <w:r w:rsidR="00FD114C">
        <w:rPr>
          <w:rFonts w:cs="Calibri"/>
          <w:color w:val="000000"/>
          <w:szCs w:val="22"/>
          <w:lang w:val="es-PE" w:eastAsia="es-PE"/>
        </w:rPr>
        <w:t>Por el contrario,</w:t>
      </w:r>
      <w:r w:rsidR="001234DD">
        <w:rPr>
          <w:rFonts w:cs="Calibri"/>
          <w:color w:val="000000"/>
          <w:szCs w:val="22"/>
          <w:lang w:val="es-PE" w:eastAsia="es-PE"/>
        </w:rPr>
        <w:t xml:space="preserve"> la utilidad neta anualizada descendió a </w:t>
      </w:r>
      <w:r w:rsidR="001234DD" w:rsidRPr="00413136">
        <w:rPr>
          <w:rFonts w:cs="Calibri"/>
          <w:color w:val="000000"/>
          <w:szCs w:val="22"/>
          <w:lang w:val="es-PE" w:eastAsia="es-PE"/>
        </w:rPr>
        <w:t xml:space="preserve">S/ </w:t>
      </w:r>
      <w:r w:rsidR="001234DD">
        <w:rPr>
          <w:rFonts w:cs="Calibri"/>
          <w:color w:val="000000"/>
          <w:szCs w:val="22"/>
          <w:lang w:val="es-PE" w:eastAsia="es-PE"/>
        </w:rPr>
        <w:t>461</w:t>
      </w:r>
      <w:r w:rsidR="001234DD" w:rsidRPr="00413136">
        <w:rPr>
          <w:rFonts w:cs="Calibri"/>
          <w:color w:val="000000"/>
          <w:szCs w:val="22"/>
          <w:lang w:val="es-PE" w:eastAsia="es-PE"/>
        </w:rPr>
        <w:t>,</w:t>
      </w:r>
      <w:r w:rsidR="001234DD">
        <w:rPr>
          <w:rFonts w:cs="Calibri"/>
          <w:color w:val="000000"/>
          <w:szCs w:val="22"/>
          <w:lang w:val="es-PE" w:eastAsia="es-PE"/>
        </w:rPr>
        <w:t>0</w:t>
      </w:r>
      <w:r w:rsidR="001234DD" w:rsidRPr="00413136">
        <w:rPr>
          <w:rFonts w:cs="Calibri"/>
          <w:color w:val="000000"/>
          <w:szCs w:val="22"/>
          <w:lang w:val="es-PE" w:eastAsia="es-PE"/>
        </w:rPr>
        <w:t xml:space="preserve"> millones, </w:t>
      </w:r>
      <w:r w:rsidR="001234DD">
        <w:rPr>
          <w:rFonts w:cs="Calibri"/>
          <w:color w:val="000000"/>
          <w:szCs w:val="22"/>
          <w:lang w:val="es-PE" w:eastAsia="es-PE"/>
        </w:rPr>
        <w:t xml:space="preserve">cifra </w:t>
      </w:r>
      <w:r w:rsidR="00FD114C">
        <w:rPr>
          <w:rFonts w:cs="Calibri"/>
          <w:color w:val="000000"/>
          <w:szCs w:val="22"/>
          <w:lang w:val="es-PE" w:eastAsia="es-PE"/>
        </w:rPr>
        <w:t xml:space="preserve">inferior </w:t>
      </w:r>
      <w:r w:rsidR="00FD114C">
        <w:rPr>
          <w:rFonts w:cs="Calibri"/>
          <w:color w:val="000000"/>
          <w:szCs w:val="22"/>
          <w:lang w:val="es-PE" w:eastAsia="es-PE"/>
        </w:rPr>
        <w:t xml:space="preserve">en </w:t>
      </w:r>
      <w:r w:rsidR="001234DD">
        <w:rPr>
          <w:rFonts w:cs="Calibri"/>
          <w:color w:val="000000"/>
          <w:szCs w:val="22"/>
          <w:lang w:val="es-PE" w:eastAsia="es-PE"/>
        </w:rPr>
        <w:t xml:space="preserve">6,2% </w:t>
      </w:r>
      <w:r w:rsidR="00FD114C">
        <w:rPr>
          <w:rFonts w:cs="Calibri"/>
          <w:color w:val="000000"/>
          <w:szCs w:val="22"/>
          <w:lang w:val="es-PE" w:eastAsia="es-PE"/>
        </w:rPr>
        <w:t>en comparación con</w:t>
      </w:r>
      <w:r w:rsidR="001234DD">
        <w:rPr>
          <w:rFonts w:cs="Calibri"/>
          <w:color w:val="000000"/>
          <w:szCs w:val="22"/>
          <w:lang w:val="es-PE" w:eastAsia="es-PE"/>
        </w:rPr>
        <w:t xml:space="preserve"> junio de 2025</w:t>
      </w:r>
      <w:r w:rsidR="00821081">
        <w:rPr>
          <w:rFonts w:cs="Calibri"/>
          <w:color w:val="000000"/>
          <w:szCs w:val="22"/>
          <w:lang w:val="es-PE" w:eastAsia="es-PE"/>
        </w:rPr>
        <w:t>. E</w:t>
      </w:r>
      <w:r w:rsidR="001D40F0">
        <w:rPr>
          <w:rFonts w:cs="Calibri"/>
          <w:color w:val="000000"/>
          <w:szCs w:val="22"/>
          <w:lang w:val="es-PE" w:eastAsia="es-PE"/>
        </w:rPr>
        <w:t>st</w:t>
      </w:r>
      <w:r w:rsidR="00821081">
        <w:rPr>
          <w:rFonts w:cs="Calibri"/>
          <w:color w:val="000000"/>
          <w:szCs w:val="22"/>
          <w:lang w:val="es-PE" w:eastAsia="es-PE"/>
        </w:rPr>
        <w:t>a reducción</w:t>
      </w:r>
      <w:r w:rsidR="001D40F0">
        <w:rPr>
          <w:rFonts w:cs="Calibri"/>
          <w:color w:val="000000"/>
          <w:szCs w:val="22"/>
          <w:lang w:val="es-PE" w:eastAsia="es-PE"/>
        </w:rPr>
        <w:t xml:space="preserve"> impactó a los indicadores de rentabilidad, con una disminución de </w:t>
      </w:r>
      <w:proofErr w:type="gramStart"/>
      <w:r w:rsidR="001D40F0">
        <w:rPr>
          <w:rFonts w:cs="Calibri"/>
          <w:color w:val="000000"/>
          <w:szCs w:val="22"/>
          <w:lang w:val="es-PE" w:eastAsia="es-PE"/>
        </w:rPr>
        <w:t>l</w:t>
      </w:r>
      <w:r w:rsidRPr="00413136">
        <w:rPr>
          <w:rFonts w:cs="Calibri"/>
          <w:color w:val="000000"/>
          <w:szCs w:val="22"/>
          <w:lang w:val="es-PE" w:eastAsia="es-PE"/>
        </w:rPr>
        <w:t>os ratios</w:t>
      </w:r>
      <w:proofErr w:type="gramEnd"/>
      <w:r w:rsidRPr="00413136">
        <w:rPr>
          <w:rFonts w:cs="Calibri"/>
          <w:color w:val="000000"/>
          <w:szCs w:val="22"/>
          <w:lang w:val="es-PE" w:eastAsia="es-PE"/>
        </w:rPr>
        <w:t xml:space="preserve"> de rentabilidad sobre los activos (ROA) y rentabilidad sobre el patrimonio (ROE) </w:t>
      </w:r>
      <w:r w:rsidR="00475A4B">
        <w:rPr>
          <w:rFonts w:cs="Calibri"/>
          <w:color w:val="000000"/>
          <w:szCs w:val="22"/>
          <w:lang w:val="es-PE" w:eastAsia="es-PE"/>
        </w:rPr>
        <w:t xml:space="preserve">en </w:t>
      </w:r>
      <w:r w:rsidR="00FD114C">
        <w:rPr>
          <w:rFonts w:cs="Calibri"/>
          <w:color w:val="000000"/>
          <w:szCs w:val="22"/>
          <w:lang w:val="es-PE" w:eastAsia="es-PE"/>
        </w:rPr>
        <w:t>1,12</w:t>
      </w:r>
      <w:r w:rsidR="00475A4B">
        <w:rPr>
          <w:rFonts w:cs="Calibri"/>
          <w:color w:val="000000"/>
          <w:szCs w:val="22"/>
          <w:lang w:val="es-PE" w:eastAsia="es-PE"/>
        </w:rPr>
        <w:t xml:space="preserve"> p.p. y </w:t>
      </w:r>
      <w:r w:rsidR="00FD114C">
        <w:rPr>
          <w:rFonts w:cs="Calibri"/>
          <w:color w:val="000000"/>
          <w:szCs w:val="22"/>
          <w:lang w:val="es-PE" w:eastAsia="es-PE"/>
        </w:rPr>
        <w:t>1,25</w:t>
      </w:r>
      <w:r w:rsidR="00475A4B">
        <w:rPr>
          <w:rFonts w:cs="Calibri"/>
          <w:color w:val="000000"/>
          <w:szCs w:val="22"/>
          <w:lang w:val="es-PE" w:eastAsia="es-PE"/>
        </w:rPr>
        <w:t xml:space="preserve"> p.p. </w:t>
      </w:r>
      <w:r w:rsidR="001D40F0">
        <w:rPr>
          <w:rFonts w:cs="Calibri"/>
          <w:color w:val="000000"/>
          <w:szCs w:val="22"/>
          <w:lang w:val="es-PE" w:eastAsia="es-PE"/>
        </w:rPr>
        <w:t>situándose en</w:t>
      </w:r>
      <w:r w:rsidR="00475A4B">
        <w:rPr>
          <w:rFonts w:cs="Calibri"/>
          <w:color w:val="000000"/>
          <w:szCs w:val="22"/>
          <w:lang w:val="es-PE" w:eastAsia="es-PE"/>
        </w:rPr>
        <w:t xml:space="preserve"> 15,</w:t>
      </w:r>
      <w:r w:rsidR="00FD114C">
        <w:rPr>
          <w:rFonts w:cs="Calibri"/>
          <w:color w:val="000000"/>
          <w:szCs w:val="22"/>
          <w:lang w:val="es-PE" w:eastAsia="es-PE"/>
        </w:rPr>
        <w:t>6</w:t>
      </w:r>
      <w:r w:rsidR="00475A4B">
        <w:rPr>
          <w:rFonts w:cs="Calibri"/>
          <w:color w:val="000000"/>
          <w:szCs w:val="22"/>
          <w:lang w:val="es-PE" w:eastAsia="es-PE"/>
        </w:rPr>
        <w:t>3% y 20,</w:t>
      </w:r>
      <w:r w:rsidR="00FD114C">
        <w:rPr>
          <w:rFonts w:cs="Calibri"/>
          <w:color w:val="000000"/>
          <w:szCs w:val="22"/>
          <w:lang w:val="es-PE" w:eastAsia="es-PE"/>
        </w:rPr>
        <w:t>41</w:t>
      </w:r>
      <w:r w:rsidR="00475A4B">
        <w:rPr>
          <w:rFonts w:cs="Calibri"/>
          <w:color w:val="000000"/>
          <w:szCs w:val="22"/>
          <w:lang w:val="es-PE" w:eastAsia="es-PE"/>
        </w:rPr>
        <w:t xml:space="preserve">%, respectivamente. </w:t>
      </w:r>
    </w:p>
    <w:p w14:paraId="287BA88E" w14:textId="2D138271" w:rsidR="00D0214A" w:rsidRDefault="00AF061A" w:rsidP="00B24C38">
      <w:pPr>
        <w:spacing w:line="276" w:lineRule="auto"/>
        <w:jc w:val="both"/>
        <w:rPr>
          <w:rFonts w:cs="Calibri"/>
          <w:color w:val="000000"/>
          <w:szCs w:val="22"/>
          <w:lang w:val="es-PE" w:eastAsia="es-PE"/>
        </w:rPr>
      </w:pPr>
      <w:r w:rsidRPr="00AF061A">
        <w:rPr>
          <w:rFonts w:cs="Calibri"/>
          <w:color w:val="000000"/>
          <w:szCs w:val="22"/>
          <w:lang w:val="es-PE" w:eastAsia="es-PE"/>
        </w:rPr>
        <w:tab/>
      </w:r>
      <w:r w:rsidRPr="00AF061A">
        <w:rPr>
          <w:rFonts w:cs="Calibri"/>
          <w:color w:val="000000"/>
          <w:szCs w:val="22"/>
          <w:lang w:val="es-PE" w:eastAsia="es-PE"/>
        </w:rPr>
        <w:tab/>
      </w:r>
      <w:r w:rsidRPr="00AF061A">
        <w:rPr>
          <w:rFonts w:cs="Calibri"/>
          <w:color w:val="000000"/>
          <w:szCs w:val="22"/>
          <w:lang w:val="es-PE" w:eastAsia="es-PE"/>
        </w:rPr>
        <w:tab/>
      </w:r>
      <w:r w:rsidRPr="00AF061A">
        <w:rPr>
          <w:rFonts w:cs="Calibri"/>
          <w:color w:val="000000"/>
          <w:szCs w:val="22"/>
          <w:lang w:val="es-PE" w:eastAsia="es-PE"/>
        </w:rPr>
        <w:tab/>
      </w:r>
    </w:p>
    <w:p w14:paraId="6E9A250B" w14:textId="77777777" w:rsidR="00D0214A" w:rsidRDefault="00D0214A" w:rsidP="00B24C38">
      <w:pPr>
        <w:spacing w:line="276" w:lineRule="auto"/>
        <w:jc w:val="both"/>
        <w:rPr>
          <w:rFonts w:cs="Calibri"/>
          <w:color w:val="000000"/>
          <w:szCs w:val="22"/>
          <w:lang w:val="es-PE" w:eastAsia="es-PE"/>
        </w:rPr>
      </w:pPr>
    </w:p>
    <w:p w14:paraId="1A58846C" w14:textId="685D5976" w:rsidR="004B1F3A" w:rsidRPr="00F8108A" w:rsidRDefault="00E378F0" w:rsidP="00B24C38">
      <w:pPr>
        <w:spacing w:line="276" w:lineRule="auto"/>
        <w:jc w:val="both"/>
        <w:rPr>
          <w:rFonts w:cs="Calibri"/>
          <w:color w:val="000000"/>
          <w:szCs w:val="22"/>
          <w:lang w:val="es-PE" w:eastAsia="es-PE"/>
        </w:rPr>
      </w:pPr>
      <w:r w:rsidRPr="00F8108A">
        <w:rPr>
          <w:rFonts w:cs="Calibri"/>
          <w:color w:val="000000"/>
          <w:szCs w:val="22"/>
          <w:lang w:val="es-PE" w:eastAsia="es-PE"/>
        </w:rPr>
        <w:lastRenderedPageBreak/>
        <w:tab/>
      </w:r>
      <w:r w:rsidRPr="00F8108A">
        <w:rPr>
          <w:rFonts w:cs="Calibri"/>
          <w:color w:val="000000"/>
          <w:szCs w:val="22"/>
          <w:lang w:val="es-PE" w:eastAsia="es-PE"/>
        </w:rPr>
        <w:tab/>
      </w:r>
    </w:p>
    <w:p w14:paraId="730C2A1C" w14:textId="67D58A2A" w:rsidR="004B15D7" w:rsidRPr="00F8108A" w:rsidRDefault="004B15D7" w:rsidP="00B24C38">
      <w:pPr>
        <w:spacing w:line="276" w:lineRule="auto"/>
        <w:jc w:val="center"/>
        <w:rPr>
          <w:b/>
          <w:sz w:val="20"/>
          <w:szCs w:val="20"/>
        </w:rPr>
      </w:pPr>
      <w:r w:rsidRPr="00F8108A">
        <w:rPr>
          <w:b/>
          <w:sz w:val="20"/>
          <w:szCs w:val="20"/>
        </w:rPr>
        <w:t>Principales Indicadores de las AFP</w:t>
      </w:r>
    </w:p>
    <w:p w14:paraId="0D44BDC8" w14:textId="7A9E4FA9" w:rsidR="001C6E73" w:rsidRDefault="004B15D7" w:rsidP="00B24C38">
      <w:pPr>
        <w:spacing w:line="276" w:lineRule="auto"/>
        <w:jc w:val="center"/>
        <w:rPr>
          <w:b/>
          <w:sz w:val="20"/>
          <w:szCs w:val="20"/>
        </w:rPr>
      </w:pPr>
      <w:r w:rsidRPr="00F8108A">
        <w:rPr>
          <w:sz w:val="20"/>
          <w:szCs w:val="20"/>
        </w:rPr>
        <w:t>(En Porcentaje)</w:t>
      </w:r>
      <w:r w:rsidR="000702D7" w:rsidRPr="00F8108A">
        <w:rPr>
          <w:b/>
          <w:sz w:val="20"/>
          <w:szCs w:val="20"/>
        </w:rPr>
        <w:t xml:space="preserve"> </w:t>
      </w:r>
    </w:p>
    <w:p w14:paraId="30D3ACBE" w14:textId="407C79E5" w:rsidR="000E533B" w:rsidRPr="00AD7D66" w:rsidRDefault="00564DA9" w:rsidP="00B24C38">
      <w:pPr>
        <w:spacing w:line="276" w:lineRule="auto"/>
        <w:ind w:left="708" w:hanging="708"/>
        <w:jc w:val="center"/>
        <w:rPr>
          <w:b/>
          <w:sz w:val="20"/>
          <w:szCs w:val="20"/>
        </w:rPr>
      </w:pPr>
      <w:r w:rsidRPr="00564DA9">
        <w:drawing>
          <wp:inline distT="0" distB="0" distL="0" distR="0" wp14:anchorId="0A1158E2" wp14:editId="00DDE07D">
            <wp:extent cx="3757246" cy="2643366"/>
            <wp:effectExtent l="0" t="0" r="0" b="5080"/>
            <wp:docPr id="1098514184" name="Imagen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773639" cy="2654899"/>
                    </a:xfrm>
                    <a:prstGeom prst="rect">
                      <a:avLst/>
                    </a:prstGeom>
                    <a:noFill/>
                    <a:ln>
                      <a:noFill/>
                    </a:ln>
                  </pic:spPr>
                </pic:pic>
              </a:graphicData>
            </a:graphic>
          </wp:inline>
        </w:drawing>
      </w:r>
    </w:p>
    <w:sectPr w:rsidR="000E533B" w:rsidRPr="00AD7D66" w:rsidSect="00482C3A">
      <w:footerReference w:type="default" r:id="rId24"/>
      <w:type w:val="continuous"/>
      <w:pgSz w:w="11907" w:h="16840" w:code="9"/>
      <w:pgMar w:top="1418" w:right="1559"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7B21D7" w14:textId="77777777" w:rsidR="008B13BA" w:rsidRDefault="008B13BA" w:rsidP="006F09A6">
      <w:r>
        <w:separator/>
      </w:r>
    </w:p>
  </w:endnote>
  <w:endnote w:type="continuationSeparator" w:id="0">
    <w:p w14:paraId="66489549" w14:textId="77777777" w:rsidR="008B13BA" w:rsidRDefault="008B13BA" w:rsidP="006F09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PMingLiU">
    <w:panose1 w:val="02010601000101010101"/>
    <w:charset w:val="88"/>
    <w:family w:val="roman"/>
    <w:pitch w:val="variable"/>
    <w:sig w:usb0="A00002FF" w:usb1="28CFFCFA" w:usb2="00000016" w:usb3="00000000" w:csb0="00100001" w:csb1="00000000"/>
  </w:font>
  <w:font w:name="Cordia New">
    <w:panose1 w:val="020B0304020202020204"/>
    <w:charset w:val="DE"/>
    <w:family w:val="swiss"/>
    <w:pitch w:val="variable"/>
    <w:sig w:usb0="81000003" w:usb1="00000000" w:usb2="00000000" w:usb3="00000000" w:csb0="00010001" w:csb1="00000000"/>
  </w:font>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ngsana New">
    <w:panose1 w:val="02020603050405020304"/>
    <w:charset w:val="DE"/>
    <w:family w:val="roman"/>
    <w:pitch w:val="variable"/>
    <w:sig w:usb0="81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1D666D" w14:textId="505068A5" w:rsidR="00325DC0" w:rsidRPr="00325DC0" w:rsidRDefault="00325DC0" w:rsidP="00325DC0">
    <w:pPr>
      <w:jc w:val="both"/>
      <w:rPr>
        <w:bCs/>
        <w:sz w:val="18"/>
      </w:rPr>
    </w:pPr>
  </w:p>
  <w:p w14:paraId="1CF4ECF6" w14:textId="77777777" w:rsidR="00325DC0" w:rsidRDefault="00325DC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E08456" w14:textId="77777777" w:rsidR="008B13BA" w:rsidRDefault="008B13BA" w:rsidP="006F09A6">
      <w:r>
        <w:separator/>
      </w:r>
    </w:p>
  </w:footnote>
  <w:footnote w:type="continuationSeparator" w:id="0">
    <w:p w14:paraId="404251B2" w14:textId="77777777" w:rsidR="008B13BA" w:rsidRDefault="008B13BA" w:rsidP="006F09A6">
      <w:r>
        <w:continuationSeparator/>
      </w:r>
    </w:p>
  </w:footnote>
  <w:footnote w:id="1">
    <w:p w14:paraId="4AAFCA0E" w14:textId="64B07051" w:rsidR="00BE051C" w:rsidRPr="00BE051C" w:rsidRDefault="00BE051C">
      <w:pPr>
        <w:pStyle w:val="Textonotapie"/>
        <w:rPr>
          <w:lang w:val="es-PE"/>
        </w:rPr>
      </w:pPr>
      <w:r w:rsidRPr="00BE051C">
        <w:rPr>
          <w:rStyle w:val="Refdenotaalpie"/>
          <w:sz w:val="18"/>
          <w:szCs w:val="18"/>
        </w:rPr>
        <w:footnoteRef/>
      </w:r>
      <w:r w:rsidRPr="00BE051C">
        <w:rPr>
          <w:sz w:val="18"/>
          <w:szCs w:val="18"/>
        </w:rPr>
        <w:t xml:space="preserve"> </w:t>
      </w:r>
      <w:r w:rsidRPr="00BE051C">
        <w:rPr>
          <w:rFonts w:cs="Calibri"/>
          <w:color w:val="000000"/>
          <w:sz w:val="18"/>
          <w:szCs w:val="18"/>
          <w:lang w:eastAsia="es-PE"/>
        </w:rPr>
        <w:t>Las cifras corresponden a febrero, siendo este el último dato disponible a la fecha de publicación</w:t>
      </w:r>
      <w:r w:rsidRPr="00BE051C">
        <w:rPr>
          <w:rFonts w:cs="Calibri"/>
          <w:color w:val="000000"/>
          <w:sz w:val="18"/>
          <w:szCs w:val="18"/>
          <w:lang w:eastAsia="es-PE"/>
        </w:rPr>
        <w:t xml:space="preserve"> (04/08/2026)</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F943A9"/>
    <w:multiLevelType w:val="hybridMultilevel"/>
    <w:tmpl w:val="D7046F1C"/>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16cid:durableId="3543554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bordersDoNotSurroundHeader/>
  <w:bordersDoNotSurroundFooter/>
  <w:proofState w:spelling="clean" w:grammar="clean"/>
  <w:defaultTabStop w:val="708"/>
  <w:hyphenationZone w:val="425"/>
  <w:drawingGridHorizontalSpacing w:val="181"/>
  <w:drawingGridVerticalSpacing w:val="181"/>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29A"/>
    <w:rsid w:val="000002F2"/>
    <w:rsid w:val="000018D6"/>
    <w:rsid w:val="000019B0"/>
    <w:rsid w:val="00004FC9"/>
    <w:rsid w:val="000052ED"/>
    <w:rsid w:val="000054CE"/>
    <w:rsid w:val="00006004"/>
    <w:rsid w:val="0000694B"/>
    <w:rsid w:val="00007C8C"/>
    <w:rsid w:val="000112D7"/>
    <w:rsid w:val="0001140F"/>
    <w:rsid w:val="00011515"/>
    <w:rsid w:val="00012A3A"/>
    <w:rsid w:val="000132B5"/>
    <w:rsid w:val="000134D1"/>
    <w:rsid w:val="0001378C"/>
    <w:rsid w:val="00022EF5"/>
    <w:rsid w:val="0002358B"/>
    <w:rsid w:val="00023F46"/>
    <w:rsid w:val="00024171"/>
    <w:rsid w:val="000269F4"/>
    <w:rsid w:val="0002703F"/>
    <w:rsid w:val="0002728D"/>
    <w:rsid w:val="00032F14"/>
    <w:rsid w:val="00033501"/>
    <w:rsid w:val="00033B59"/>
    <w:rsid w:val="0003450F"/>
    <w:rsid w:val="00034F57"/>
    <w:rsid w:val="00037121"/>
    <w:rsid w:val="000401DE"/>
    <w:rsid w:val="00040708"/>
    <w:rsid w:val="000408A4"/>
    <w:rsid w:val="00040CBB"/>
    <w:rsid w:val="000412F6"/>
    <w:rsid w:val="0004138C"/>
    <w:rsid w:val="00041AA3"/>
    <w:rsid w:val="00042B20"/>
    <w:rsid w:val="00046E91"/>
    <w:rsid w:val="00047AFC"/>
    <w:rsid w:val="00050D3E"/>
    <w:rsid w:val="000529BA"/>
    <w:rsid w:val="000537C7"/>
    <w:rsid w:val="000542C6"/>
    <w:rsid w:val="00055216"/>
    <w:rsid w:val="00055BA7"/>
    <w:rsid w:val="00055EAA"/>
    <w:rsid w:val="000574B8"/>
    <w:rsid w:val="0006068E"/>
    <w:rsid w:val="00062240"/>
    <w:rsid w:val="00064479"/>
    <w:rsid w:val="000663F6"/>
    <w:rsid w:val="00067F31"/>
    <w:rsid w:val="000702D7"/>
    <w:rsid w:val="00072EF9"/>
    <w:rsid w:val="00073A55"/>
    <w:rsid w:val="00073B1F"/>
    <w:rsid w:val="000761F7"/>
    <w:rsid w:val="00076ECE"/>
    <w:rsid w:val="00077FF3"/>
    <w:rsid w:val="00080019"/>
    <w:rsid w:val="000803C1"/>
    <w:rsid w:val="000823E5"/>
    <w:rsid w:val="00082AD8"/>
    <w:rsid w:val="000837DA"/>
    <w:rsid w:val="0008449D"/>
    <w:rsid w:val="000848F7"/>
    <w:rsid w:val="00084F41"/>
    <w:rsid w:val="00090072"/>
    <w:rsid w:val="000901C4"/>
    <w:rsid w:val="000904DF"/>
    <w:rsid w:val="0009201C"/>
    <w:rsid w:val="000927BD"/>
    <w:rsid w:val="00092CC5"/>
    <w:rsid w:val="00092E70"/>
    <w:rsid w:val="00095D09"/>
    <w:rsid w:val="000967DE"/>
    <w:rsid w:val="0009697A"/>
    <w:rsid w:val="0009747F"/>
    <w:rsid w:val="000A0922"/>
    <w:rsid w:val="000A1CEE"/>
    <w:rsid w:val="000A2657"/>
    <w:rsid w:val="000A48FF"/>
    <w:rsid w:val="000A4AAF"/>
    <w:rsid w:val="000A4B69"/>
    <w:rsid w:val="000A5445"/>
    <w:rsid w:val="000A63E8"/>
    <w:rsid w:val="000A6AD8"/>
    <w:rsid w:val="000B023E"/>
    <w:rsid w:val="000B0C84"/>
    <w:rsid w:val="000B1923"/>
    <w:rsid w:val="000B5397"/>
    <w:rsid w:val="000B62FE"/>
    <w:rsid w:val="000B6777"/>
    <w:rsid w:val="000B7F98"/>
    <w:rsid w:val="000C0873"/>
    <w:rsid w:val="000C1F24"/>
    <w:rsid w:val="000C3286"/>
    <w:rsid w:val="000C6F90"/>
    <w:rsid w:val="000D0E40"/>
    <w:rsid w:val="000D2D08"/>
    <w:rsid w:val="000D3D50"/>
    <w:rsid w:val="000D4536"/>
    <w:rsid w:val="000D6C2E"/>
    <w:rsid w:val="000E13B8"/>
    <w:rsid w:val="000E186D"/>
    <w:rsid w:val="000E2EB0"/>
    <w:rsid w:val="000E324B"/>
    <w:rsid w:val="000E3392"/>
    <w:rsid w:val="000E5225"/>
    <w:rsid w:val="000E533B"/>
    <w:rsid w:val="000E6882"/>
    <w:rsid w:val="000E75C9"/>
    <w:rsid w:val="000F03D6"/>
    <w:rsid w:val="000F0D86"/>
    <w:rsid w:val="000F2C60"/>
    <w:rsid w:val="000F3426"/>
    <w:rsid w:val="000F3BD1"/>
    <w:rsid w:val="000F42C1"/>
    <w:rsid w:val="000F4484"/>
    <w:rsid w:val="000F49FE"/>
    <w:rsid w:val="000F4E8C"/>
    <w:rsid w:val="000F4EDF"/>
    <w:rsid w:val="0010116C"/>
    <w:rsid w:val="001011CD"/>
    <w:rsid w:val="00101638"/>
    <w:rsid w:val="001016A5"/>
    <w:rsid w:val="001023F4"/>
    <w:rsid w:val="00102B80"/>
    <w:rsid w:val="00102DBE"/>
    <w:rsid w:val="00104742"/>
    <w:rsid w:val="00104D5C"/>
    <w:rsid w:val="00105778"/>
    <w:rsid w:val="00105D3E"/>
    <w:rsid w:val="00106490"/>
    <w:rsid w:val="001065D5"/>
    <w:rsid w:val="00106636"/>
    <w:rsid w:val="00107997"/>
    <w:rsid w:val="00107A55"/>
    <w:rsid w:val="00110E91"/>
    <w:rsid w:val="00112273"/>
    <w:rsid w:val="00112AD1"/>
    <w:rsid w:val="00114348"/>
    <w:rsid w:val="001151B7"/>
    <w:rsid w:val="00120921"/>
    <w:rsid w:val="00120D84"/>
    <w:rsid w:val="0012262C"/>
    <w:rsid w:val="001234DD"/>
    <w:rsid w:val="00124928"/>
    <w:rsid w:val="00125A73"/>
    <w:rsid w:val="00125C4C"/>
    <w:rsid w:val="001275C9"/>
    <w:rsid w:val="00130704"/>
    <w:rsid w:val="00131448"/>
    <w:rsid w:val="00131D80"/>
    <w:rsid w:val="001324A2"/>
    <w:rsid w:val="00132770"/>
    <w:rsid w:val="00132F50"/>
    <w:rsid w:val="00133022"/>
    <w:rsid w:val="00133794"/>
    <w:rsid w:val="00133A57"/>
    <w:rsid w:val="001355B2"/>
    <w:rsid w:val="00136067"/>
    <w:rsid w:val="001376B8"/>
    <w:rsid w:val="00137703"/>
    <w:rsid w:val="00137F1F"/>
    <w:rsid w:val="00140BC3"/>
    <w:rsid w:val="001410CE"/>
    <w:rsid w:val="0014393C"/>
    <w:rsid w:val="00143983"/>
    <w:rsid w:val="00143FBC"/>
    <w:rsid w:val="00145107"/>
    <w:rsid w:val="00147756"/>
    <w:rsid w:val="001477D5"/>
    <w:rsid w:val="0015058A"/>
    <w:rsid w:val="0015141E"/>
    <w:rsid w:val="00151F53"/>
    <w:rsid w:val="00152CE6"/>
    <w:rsid w:val="001532DA"/>
    <w:rsid w:val="00153B3B"/>
    <w:rsid w:val="0015573B"/>
    <w:rsid w:val="00157B77"/>
    <w:rsid w:val="00160406"/>
    <w:rsid w:val="001625DB"/>
    <w:rsid w:val="00164347"/>
    <w:rsid w:val="00165B38"/>
    <w:rsid w:val="0017125D"/>
    <w:rsid w:val="001723BF"/>
    <w:rsid w:val="00172C56"/>
    <w:rsid w:val="001738B9"/>
    <w:rsid w:val="00173B69"/>
    <w:rsid w:val="00174376"/>
    <w:rsid w:val="00176C9B"/>
    <w:rsid w:val="00176F90"/>
    <w:rsid w:val="001808BC"/>
    <w:rsid w:val="00181428"/>
    <w:rsid w:val="001817CD"/>
    <w:rsid w:val="001825C5"/>
    <w:rsid w:val="0018278A"/>
    <w:rsid w:val="001830A9"/>
    <w:rsid w:val="00183634"/>
    <w:rsid w:val="00184CD8"/>
    <w:rsid w:val="00185E27"/>
    <w:rsid w:val="00185FCC"/>
    <w:rsid w:val="00186819"/>
    <w:rsid w:val="00187CE6"/>
    <w:rsid w:val="0019072B"/>
    <w:rsid w:val="001936C1"/>
    <w:rsid w:val="00193D91"/>
    <w:rsid w:val="00195AB4"/>
    <w:rsid w:val="00195ABC"/>
    <w:rsid w:val="00195DAD"/>
    <w:rsid w:val="001961C6"/>
    <w:rsid w:val="00196E02"/>
    <w:rsid w:val="00196FA5"/>
    <w:rsid w:val="001A1438"/>
    <w:rsid w:val="001A2F14"/>
    <w:rsid w:val="001A4511"/>
    <w:rsid w:val="001A46A2"/>
    <w:rsid w:val="001A4CD4"/>
    <w:rsid w:val="001A4D25"/>
    <w:rsid w:val="001A5AD0"/>
    <w:rsid w:val="001A6AFE"/>
    <w:rsid w:val="001A6CFA"/>
    <w:rsid w:val="001A7B5F"/>
    <w:rsid w:val="001A7BA0"/>
    <w:rsid w:val="001B003B"/>
    <w:rsid w:val="001B2761"/>
    <w:rsid w:val="001B3A27"/>
    <w:rsid w:val="001B3BCF"/>
    <w:rsid w:val="001B5B21"/>
    <w:rsid w:val="001B6364"/>
    <w:rsid w:val="001B6D9F"/>
    <w:rsid w:val="001B7854"/>
    <w:rsid w:val="001C0308"/>
    <w:rsid w:val="001C03DF"/>
    <w:rsid w:val="001C051C"/>
    <w:rsid w:val="001C07AC"/>
    <w:rsid w:val="001C0A8D"/>
    <w:rsid w:val="001C17C2"/>
    <w:rsid w:val="001C3C3A"/>
    <w:rsid w:val="001C4503"/>
    <w:rsid w:val="001C4A6D"/>
    <w:rsid w:val="001C4B7B"/>
    <w:rsid w:val="001C5CAB"/>
    <w:rsid w:val="001C60D5"/>
    <w:rsid w:val="001C62FD"/>
    <w:rsid w:val="001C6E73"/>
    <w:rsid w:val="001C7946"/>
    <w:rsid w:val="001D20A4"/>
    <w:rsid w:val="001D2AE6"/>
    <w:rsid w:val="001D3CC4"/>
    <w:rsid w:val="001D3D00"/>
    <w:rsid w:val="001D40F0"/>
    <w:rsid w:val="001D4AAB"/>
    <w:rsid w:val="001D5362"/>
    <w:rsid w:val="001D5A45"/>
    <w:rsid w:val="001D5FDA"/>
    <w:rsid w:val="001E29EF"/>
    <w:rsid w:val="001E3DAC"/>
    <w:rsid w:val="001E418C"/>
    <w:rsid w:val="001E41A1"/>
    <w:rsid w:val="001E4BF0"/>
    <w:rsid w:val="001E4EB0"/>
    <w:rsid w:val="001E5457"/>
    <w:rsid w:val="001E62DB"/>
    <w:rsid w:val="001E6857"/>
    <w:rsid w:val="001E6E7F"/>
    <w:rsid w:val="001F08A7"/>
    <w:rsid w:val="001F245A"/>
    <w:rsid w:val="001F270C"/>
    <w:rsid w:val="001F423A"/>
    <w:rsid w:val="001F4ED5"/>
    <w:rsid w:val="001F5346"/>
    <w:rsid w:val="001F5C00"/>
    <w:rsid w:val="001F5E50"/>
    <w:rsid w:val="001F6C5A"/>
    <w:rsid w:val="001F7328"/>
    <w:rsid w:val="00201764"/>
    <w:rsid w:val="00201BB3"/>
    <w:rsid w:val="0020295A"/>
    <w:rsid w:val="00203FFB"/>
    <w:rsid w:val="002042F8"/>
    <w:rsid w:val="002045AE"/>
    <w:rsid w:val="00204A83"/>
    <w:rsid w:val="00204B9C"/>
    <w:rsid w:val="00205394"/>
    <w:rsid w:val="00206857"/>
    <w:rsid w:val="00206ECA"/>
    <w:rsid w:val="00207769"/>
    <w:rsid w:val="0020785D"/>
    <w:rsid w:val="00207883"/>
    <w:rsid w:val="002131EA"/>
    <w:rsid w:val="00215773"/>
    <w:rsid w:val="00215EF6"/>
    <w:rsid w:val="002162C9"/>
    <w:rsid w:val="002164C6"/>
    <w:rsid w:val="00217134"/>
    <w:rsid w:val="002206EF"/>
    <w:rsid w:val="00222259"/>
    <w:rsid w:val="00222A34"/>
    <w:rsid w:val="002234D1"/>
    <w:rsid w:val="00224044"/>
    <w:rsid w:val="00224086"/>
    <w:rsid w:val="002244C7"/>
    <w:rsid w:val="002257B8"/>
    <w:rsid w:val="002261CF"/>
    <w:rsid w:val="00226711"/>
    <w:rsid w:val="00231E03"/>
    <w:rsid w:val="00232FD3"/>
    <w:rsid w:val="0023311F"/>
    <w:rsid w:val="00233612"/>
    <w:rsid w:val="00233902"/>
    <w:rsid w:val="002342DF"/>
    <w:rsid w:val="00234E15"/>
    <w:rsid w:val="00235B4C"/>
    <w:rsid w:val="002371FD"/>
    <w:rsid w:val="00240791"/>
    <w:rsid w:val="0024109D"/>
    <w:rsid w:val="00241F99"/>
    <w:rsid w:val="0024286E"/>
    <w:rsid w:val="00243AFC"/>
    <w:rsid w:val="00243F80"/>
    <w:rsid w:val="002441D8"/>
    <w:rsid w:val="002451F5"/>
    <w:rsid w:val="0024633C"/>
    <w:rsid w:val="002478C9"/>
    <w:rsid w:val="00250E42"/>
    <w:rsid w:val="00250F8B"/>
    <w:rsid w:val="002521FF"/>
    <w:rsid w:val="002555FE"/>
    <w:rsid w:val="002569CC"/>
    <w:rsid w:val="00256C5D"/>
    <w:rsid w:val="00260264"/>
    <w:rsid w:val="00260C47"/>
    <w:rsid w:val="00261710"/>
    <w:rsid w:val="0026287A"/>
    <w:rsid w:val="00263B5F"/>
    <w:rsid w:val="00263BC9"/>
    <w:rsid w:val="00265E42"/>
    <w:rsid w:val="00270673"/>
    <w:rsid w:val="00271974"/>
    <w:rsid w:val="00274D54"/>
    <w:rsid w:val="00274EB8"/>
    <w:rsid w:val="002756BD"/>
    <w:rsid w:val="00275E67"/>
    <w:rsid w:val="00276049"/>
    <w:rsid w:val="0027633F"/>
    <w:rsid w:val="002764F0"/>
    <w:rsid w:val="002773C4"/>
    <w:rsid w:val="00281AE1"/>
    <w:rsid w:val="00281C3C"/>
    <w:rsid w:val="00281DE1"/>
    <w:rsid w:val="00282C70"/>
    <w:rsid w:val="00283581"/>
    <w:rsid w:val="00283F13"/>
    <w:rsid w:val="00284E31"/>
    <w:rsid w:val="002856DF"/>
    <w:rsid w:val="0028693A"/>
    <w:rsid w:val="00286A8F"/>
    <w:rsid w:val="00287326"/>
    <w:rsid w:val="0029056A"/>
    <w:rsid w:val="00295434"/>
    <w:rsid w:val="002961B5"/>
    <w:rsid w:val="00296512"/>
    <w:rsid w:val="002A06EA"/>
    <w:rsid w:val="002A2BD6"/>
    <w:rsid w:val="002A3809"/>
    <w:rsid w:val="002A39B6"/>
    <w:rsid w:val="002A3B0D"/>
    <w:rsid w:val="002A3E36"/>
    <w:rsid w:val="002A5133"/>
    <w:rsid w:val="002A58A2"/>
    <w:rsid w:val="002B31B9"/>
    <w:rsid w:val="002B33F5"/>
    <w:rsid w:val="002B3AB1"/>
    <w:rsid w:val="002B4B90"/>
    <w:rsid w:val="002B5867"/>
    <w:rsid w:val="002B6F00"/>
    <w:rsid w:val="002B7E0D"/>
    <w:rsid w:val="002C0BAE"/>
    <w:rsid w:val="002C341B"/>
    <w:rsid w:val="002C41D1"/>
    <w:rsid w:val="002C41EE"/>
    <w:rsid w:val="002C5015"/>
    <w:rsid w:val="002C5540"/>
    <w:rsid w:val="002D1001"/>
    <w:rsid w:val="002D1889"/>
    <w:rsid w:val="002D34D0"/>
    <w:rsid w:val="002D3973"/>
    <w:rsid w:val="002D398A"/>
    <w:rsid w:val="002D3BA0"/>
    <w:rsid w:val="002D4843"/>
    <w:rsid w:val="002D4B26"/>
    <w:rsid w:val="002D4B61"/>
    <w:rsid w:val="002D4E7A"/>
    <w:rsid w:val="002D5224"/>
    <w:rsid w:val="002E1797"/>
    <w:rsid w:val="002E188F"/>
    <w:rsid w:val="002E2D81"/>
    <w:rsid w:val="002E418B"/>
    <w:rsid w:val="002E491F"/>
    <w:rsid w:val="002E5035"/>
    <w:rsid w:val="002E5AAF"/>
    <w:rsid w:val="002E6CA7"/>
    <w:rsid w:val="002E6EDC"/>
    <w:rsid w:val="002E7618"/>
    <w:rsid w:val="002F0180"/>
    <w:rsid w:val="002F024A"/>
    <w:rsid w:val="002F0452"/>
    <w:rsid w:val="002F0F5B"/>
    <w:rsid w:val="002F1906"/>
    <w:rsid w:val="002F24B8"/>
    <w:rsid w:val="002F2621"/>
    <w:rsid w:val="002F2990"/>
    <w:rsid w:val="002F29B0"/>
    <w:rsid w:val="002F6169"/>
    <w:rsid w:val="002F72D1"/>
    <w:rsid w:val="0030018A"/>
    <w:rsid w:val="00302CDD"/>
    <w:rsid w:val="00304687"/>
    <w:rsid w:val="00306530"/>
    <w:rsid w:val="003067CB"/>
    <w:rsid w:val="00306937"/>
    <w:rsid w:val="00307805"/>
    <w:rsid w:val="00307EF8"/>
    <w:rsid w:val="00310120"/>
    <w:rsid w:val="00311478"/>
    <w:rsid w:val="0031411D"/>
    <w:rsid w:val="00315012"/>
    <w:rsid w:val="0031615A"/>
    <w:rsid w:val="00316912"/>
    <w:rsid w:val="00317133"/>
    <w:rsid w:val="00317600"/>
    <w:rsid w:val="00320C52"/>
    <w:rsid w:val="0032206A"/>
    <w:rsid w:val="0032218B"/>
    <w:rsid w:val="00323319"/>
    <w:rsid w:val="003239AA"/>
    <w:rsid w:val="003252AC"/>
    <w:rsid w:val="00325DC0"/>
    <w:rsid w:val="0032606A"/>
    <w:rsid w:val="00326A06"/>
    <w:rsid w:val="00327D31"/>
    <w:rsid w:val="00330237"/>
    <w:rsid w:val="0033225A"/>
    <w:rsid w:val="003322AF"/>
    <w:rsid w:val="00333245"/>
    <w:rsid w:val="003349E4"/>
    <w:rsid w:val="0033543B"/>
    <w:rsid w:val="00336546"/>
    <w:rsid w:val="003368A0"/>
    <w:rsid w:val="00337326"/>
    <w:rsid w:val="00337509"/>
    <w:rsid w:val="003378C5"/>
    <w:rsid w:val="00337DDD"/>
    <w:rsid w:val="00340B79"/>
    <w:rsid w:val="00341625"/>
    <w:rsid w:val="00341837"/>
    <w:rsid w:val="003432D9"/>
    <w:rsid w:val="003434C9"/>
    <w:rsid w:val="00343A51"/>
    <w:rsid w:val="00344497"/>
    <w:rsid w:val="00344DB8"/>
    <w:rsid w:val="00345231"/>
    <w:rsid w:val="00347317"/>
    <w:rsid w:val="00347872"/>
    <w:rsid w:val="00347AD2"/>
    <w:rsid w:val="00350654"/>
    <w:rsid w:val="00351DB2"/>
    <w:rsid w:val="00352B5E"/>
    <w:rsid w:val="0035342A"/>
    <w:rsid w:val="00353511"/>
    <w:rsid w:val="00353794"/>
    <w:rsid w:val="003538E5"/>
    <w:rsid w:val="003565EB"/>
    <w:rsid w:val="00357D2D"/>
    <w:rsid w:val="00361645"/>
    <w:rsid w:val="00361C06"/>
    <w:rsid w:val="00362AE7"/>
    <w:rsid w:val="00365DE4"/>
    <w:rsid w:val="00365E45"/>
    <w:rsid w:val="003663E3"/>
    <w:rsid w:val="00366E8A"/>
    <w:rsid w:val="003672B9"/>
    <w:rsid w:val="00367A2F"/>
    <w:rsid w:val="0037068E"/>
    <w:rsid w:val="00370AA1"/>
    <w:rsid w:val="00371EAF"/>
    <w:rsid w:val="003720EC"/>
    <w:rsid w:val="00375984"/>
    <w:rsid w:val="00376719"/>
    <w:rsid w:val="003773CD"/>
    <w:rsid w:val="00380A95"/>
    <w:rsid w:val="00381210"/>
    <w:rsid w:val="00382127"/>
    <w:rsid w:val="0038283A"/>
    <w:rsid w:val="00382844"/>
    <w:rsid w:val="00382F34"/>
    <w:rsid w:val="0038374F"/>
    <w:rsid w:val="00384D00"/>
    <w:rsid w:val="00386283"/>
    <w:rsid w:val="00386BB8"/>
    <w:rsid w:val="00387FC3"/>
    <w:rsid w:val="00390847"/>
    <w:rsid w:val="00390DCF"/>
    <w:rsid w:val="003923A3"/>
    <w:rsid w:val="0039595F"/>
    <w:rsid w:val="003978FC"/>
    <w:rsid w:val="00397ABD"/>
    <w:rsid w:val="003A1E64"/>
    <w:rsid w:val="003A3785"/>
    <w:rsid w:val="003A4B83"/>
    <w:rsid w:val="003A7393"/>
    <w:rsid w:val="003A74B5"/>
    <w:rsid w:val="003B1F20"/>
    <w:rsid w:val="003B2B98"/>
    <w:rsid w:val="003B2D95"/>
    <w:rsid w:val="003B68F9"/>
    <w:rsid w:val="003B790A"/>
    <w:rsid w:val="003C09C6"/>
    <w:rsid w:val="003C1025"/>
    <w:rsid w:val="003C1439"/>
    <w:rsid w:val="003C21F5"/>
    <w:rsid w:val="003C45D9"/>
    <w:rsid w:val="003C684D"/>
    <w:rsid w:val="003C6A9C"/>
    <w:rsid w:val="003C71DE"/>
    <w:rsid w:val="003C749A"/>
    <w:rsid w:val="003C79CE"/>
    <w:rsid w:val="003D1E71"/>
    <w:rsid w:val="003D2253"/>
    <w:rsid w:val="003D4F7F"/>
    <w:rsid w:val="003D5F2B"/>
    <w:rsid w:val="003D6672"/>
    <w:rsid w:val="003D7D91"/>
    <w:rsid w:val="003E0621"/>
    <w:rsid w:val="003E06CB"/>
    <w:rsid w:val="003E0F75"/>
    <w:rsid w:val="003E2ABF"/>
    <w:rsid w:val="003E38B4"/>
    <w:rsid w:val="003E517B"/>
    <w:rsid w:val="003E6492"/>
    <w:rsid w:val="003E6598"/>
    <w:rsid w:val="003E75E6"/>
    <w:rsid w:val="003F00CC"/>
    <w:rsid w:val="003F0182"/>
    <w:rsid w:val="003F0558"/>
    <w:rsid w:val="003F2E30"/>
    <w:rsid w:val="003F362D"/>
    <w:rsid w:val="003F5EDE"/>
    <w:rsid w:val="003F732D"/>
    <w:rsid w:val="003F7ADD"/>
    <w:rsid w:val="0040028B"/>
    <w:rsid w:val="004032C4"/>
    <w:rsid w:val="0040342C"/>
    <w:rsid w:val="00403A60"/>
    <w:rsid w:val="00403CC1"/>
    <w:rsid w:val="00410A92"/>
    <w:rsid w:val="00410DB2"/>
    <w:rsid w:val="00413136"/>
    <w:rsid w:val="00413233"/>
    <w:rsid w:val="004133FA"/>
    <w:rsid w:val="004160C4"/>
    <w:rsid w:val="0041749A"/>
    <w:rsid w:val="00417711"/>
    <w:rsid w:val="00417AE4"/>
    <w:rsid w:val="00417D6C"/>
    <w:rsid w:val="00417E22"/>
    <w:rsid w:val="00421B33"/>
    <w:rsid w:val="004221B8"/>
    <w:rsid w:val="00422830"/>
    <w:rsid w:val="00424F2A"/>
    <w:rsid w:val="00425A24"/>
    <w:rsid w:val="00425E9E"/>
    <w:rsid w:val="004261D2"/>
    <w:rsid w:val="004273E9"/>
    <w:rsid w:val="00431150"/>
    <w:rsid w:val="004319CD"/>
    <w:rsid w:val="004335F6"/>
    <w:rsid w:val="004339F1"/>
    <w:rsid w:val="00433DF6"/>
    <w:rsid w:val="00434073"/>
    <w:rsid w:val="00434695"/>
    <w:rsid w:val="00434C6D"/>
    <w:rsid w:val="00436ECA"/>
    <w:rsid w:val="00437E2D"/>
    <w:rsid w:val="00440F44"/>
    <w:rsid w:val="004428BA"/>
    <w:rsid w:val="0044329C"/>
    <w:rsid w:val="00443E23"/>
    <w:rsid w:val="0044417A"/>
    <w:rsid w:val="00445273"/>
    <w:rsid w:val="00445367"/>
    <w:rsid w:val="00445DD6"/>
    <w:rsid w:val="00446F26"/>
    <w:rsid w:val="0044742B"/>
    <w:rsid w:val="00450E4A"/>
    <w:rsid w:val="00450F2B"/>
    <w:rsid w:val="00452B73"/>
    <w:rsid w:val="00453C0E"/>
    <w:rsid w:val="00453DA7"/>
    <w:rsid w:val="004551FA"/>
    <w:rsid w:val="00455561"/>
    <w:rsid w:val="00455DFB"/>
    <w:rsid w:val="00455EDF"/>
    <w:rsid w:val="004579C9"/>
    <w:rsid w:val="0046030A"/>
    <w:rsid w:val="00460BEE"/>
    <w:rsid w:val="00461124"/>
    <w:rsid w:val="0046113B"/>
    <w:rsid w:val="00461B6C"/>
    <w:rsid w:val="004671DC"/>
    <w:rsid w:val="00470B3F"/>
    <w:rsid w:val="00471C9F"/>
    <w:rsid w:val="00472E5D"/>
    <w:rsid w:val="0047357C"/>
    <w:rsid w:val="004736B8"/>
    <w:rsid w:val="0047498C"/>
    <w:rsid w:val="00475A4B"/>
    <w:rsid w:val="00475C32"/>
    <w:rsid w:val="0047722C"/>
    <w:rsid w:val="0048077D"/>
    <w:rsid w:val="00481A3F"/>
    <w:rsid w:val="00481ADE"/>
    <w:rsid w:val="00482C3A"/>
    <w:rsid w:val="00483758"/>
    <w:rsid w:val="00484D76"/>
    <w:rsid w:val="0048512B"/>
    <w:rsid w:val="00485527"/>
    <w:rsid w:val="00486668"/>
    <w:rsid w:val="004873F2"/>
    <w:rsid w:val="00492BB1"/>
    <w:rsid w:val="00492C38"/>
    <w:rsid w:val="0049323A"/>
    <w:rsid w:val="00495421"/>
    <w:rsid w:val="00495E71"/>
    <w:rsid w:val="0049614D"/>
    <w:rsid w:val="00496542"/>
    <w:rsid w:val="00497BC9"/>
    <w:rsid w:val="004A0F5D"/>
    <w:rsid w:val="004A16B7"/>
    <w:rsid w:val="004A1CF3"/>
    <w:rsid w:val="004A1E63"/>
    <w:rsid w:val="004A340C"/>
    <w:rsid w:val="004A4FE8"/>
    <w:rsid w:val="004A5526"/>
    <w:rsid w:val="004A5734"/>
    <w:rsid w:val="004A5E48"/>
    <w:rsid w:val="004A73C3"/>
    <w:rsid w:val="004B0D8C"/>
    <w:rsid w:val="004B1365"/>
    <w:rsid w:val="004B15D7"/>
    <w:rsid w:val="004B1A8C"/>
    <w:rsid w:val="004B1F3A"/>
    <w:rsid w:val="004B6AC0"/>
    <w:rsid w:val="004C0F3E"/>
    <w:rsid w:val="004C17D5"/>
    <w:rsid w:val="004C234C"/>
    <w:rsid w:val="004C28D5"/>
    <w:rsid w:val="004C29E0"/>
    <w:rsid w:val="004C326F"/>
    <w:rsid w:val="004C3C55"/>
    <w:rsid w:val="004C4180"/>
    <w:rsid w:val="004C4DBC"/>
    <w:rsid w:val="004C71F3"/>
    <w:rsid w:val="004C740C"/>
    <w:rsid w:val="004D0BCC"/>
    <w:rsid w:val="004D40A9"/>
    <w:rsid w:val="004D542E"/>
    <w:rsid w:val="004D5CB0"/>
    <w:rsid w:val="004D5F1E"/>
    <w:rsid w:val="004D6412"/>
    <w:rsid w:val="004D7AA5"/>
    <w:rsid w:val="004D7F02"/>
    <w:rsid w:val="004E069D"/>
    <w:rsid w:val="004E0DF6"/>
    <w:rsid w:val="004E19C5"/>
    <w:rsid w:val="004E2080"/>
    <w:rsid w:val="004E331A"/>
    <w:rsid w:val="004E5223"/>
    <w:rsid w:val="004E5849"/>
    <w:rsid w:val="004E625E"/>
    <w:rsid w:val="004E62B6"/>
    <w:rsid w:val="004F1D93"/>
    <w:rsid w:val="004F2E1E"/>
    <w:rsid w:val="004F448F"/>
    <w:rsid w:val="004F4883"/>
    <w:rsid w:val="004F5EFD"/>
    <w:rsid w:val="004F64E5"/>
    <w:rsid w:val="004F7158"/>
    <w:rsid w:val="00502420"/>
    <w:rsid w:val="00502B60"/>
    <w:rsid w:val="005036C2"/>
    <w:rsid w:val="0050402C"/>
    <w:rsid w:val="0050404C"/>
    <w:rsid w:val="00504989"/>
    <w:rsid w:val="00506237"/>
    <w:rsid w:val="00506FE1"/>
    <w:rsid w:val="0050723C"/>
    <w:rsid w:val="00507578"/>
    <w:rsid w:val="00507A6F"/>
    <w:rsid w:val="00510355"/>
    <w:rsid w:val="00511000"/>
    <w:rsid w:val="00511327"/>
    <w:rsid w:val="005123A8"/>
    <w:rsid w:val="00514045"/>
    <w:rsid w:val="00514131"/>
    <w:rsid w:val="00514AE6"/>
    <w:rsid w:val="00514B89"/>
    <w:rsid w:val="00515F77"/>
    <w:rsid w:val="00517B3C"/>
    <w:rsid w:val="005211EF"/>
    <w:rsid w:val="00521890"/>
    <w:rsid w:val="00522F08"/>
    <w:rsid w:val="00523463"/>
    <w:rsid w:val="00523D35"/>
    <w:rsid w:val="00523D86"/>
    <w:rsid w:val="00525A6C"/>
    <w:rsid w:val="00525F66"/>
    <w:rsid w:val="0052667A"/>
    <w:rsid w:val="00526B96"/>
    <w:rsid w:val="005309E8"/>
    <w:rsid w:val="0053160E"/>
    <w:rsid w:val="005328EC"/>
    <w:rsid w:val="00532DFC"/>
    <w:rsid w:val="005330E8"/>
    <w:rsid w:val="00533828"/>
    <w:rsid w:val="00534A2C"/>
    <w:rsid w:val="00535588"/>
    <w:rsid w:val="005358DA"/>
    <w:rsid w:val="00541325"/>
    <w:rsid w:val="0054155C"/>
    <w:rsid w:val="005417C4"/>
    <w:rsid w:val="00541B06"/>
    <w:rsid w:val="0054279C"/>
    <w:rsid w:val="00543242"/>
    <w:rsid w:val="00543FBA"/>
    <w:rsid w:val="00543FD4"/>
    <w:rsid w:val="00544093"/>
    <w:rsid w:val="00544B79"/>
    <w:rsid w:val="00545961"/>
    <w:rsid w:val="00546D38"/>
    <w:rsid w:val="0055154F"/>
    <w:rsid w:val="00551B73"/>
    <w:rsid w:val="005539FC"/>
    <w:rsid w:val="00554784"/>
    <w:rsid w:val="0055511D"/>
    <w:rsid w:val="00556CF3"/>
    <w:rsid w:val="005571AF"/>
    <w:rsid w:val="005572C3"/>
    <w:rsid w:val="005616A9"/>
    <w:rsid w:val="005619D1"/>
    <w:rsid w:val="00561AFC"/>
    <w:rsid w:val="00561D58"/>
    <w:rsid w:val="00562F5B"/>
    <w:rsid w:val="00563241"/>
    <w:rsid w:val="0056332E"/>
    <w:rsid w:val="00564DA9"/>
    <w:rsid w:val="00570F51"/>
    <w:rsid w:val="00571ABE"/>
    <w:rsid w:val="00572172"/>
    <w:rsid w:val="00574B48"/>
    <w:rsid w:val="00575221"/>
    <w:rsid w:val="005753BB"/>
    <w:rsid w:val="00577217"/>
    <w:rsid w:val="005777F2"/>
    <w:rsid w:val="00580192"/>
    <w:rsid w:val="005810B1"/>
    <w:rsid w:val="00582F81"/>
    <w:rsid w:val="005856A5"/>
    <w:rsid w:val="00586BAE"/>
    <w:rsid w:val="005870A5"/>
    <w:rsid w:val="005878E4"/>
    <w:rsid w:val="005904DA"/>
    <w:rsid w:val="00592C5D"/>
    <w:rsid w:val="005935C0"/>
    <w:rsid w:val="00593C67"/>
    <w:rsid w:val="00597037"/>
    <w:rsid w:val="005A033C"/>
    <w:rsid w:val="005A1972"/>
    <w:rsid w:val="005A3D21"/>
    <w:rsid w:val="005A3EE5"/>
    <w:rsid w:val="005A443E"/>
    <w:rsid w:val="005A5347"/>
    <w:rsid w:val="005A6D6B"/>
    <w:rsid w:val="005B08B1"/>
    <w:rsid w:val="005B091C"/>
    <w:rsid w:val="005B34BF"/>
    <w:rsid w:val="005B35B7"/>
    <w:rsid w:val="005B382A"/>
    <w:rsid w:val="005B4406"/>
    <w:rsid w:val="005B44C8"/>
    <w:rsid w:val="005B490B"/>
    <w:rsid w:val="005B4F14"/>
    <w:rsid w:val="005B5FF8"/>
    <w:rsid w:val="005B792D"/>
    <w:rsid w:val="005C161B"/>
    <w:rsid w:val="005C1DA0"/>
    <w:rsid w:val="005C2AAE"/>
    <w:rsid w:val="005C4402"/>
    <w:rsid w:val="005C483E"/>
    <w:rsid w:val="005C58A2"/>
    <w:rsid w:val="005C7CAF"/>
    <w:rsid w:val="005C7CC8"/>
    <w:rsid w:val="005D035E"/>
    <w:rsid w:val="005D229E"/>
    <w:rsid w:val="005D3A58"/>
    <w:rsid w:val="005D3EDA"/>
    <w:rsid w:val="005D53C1"/>
    <w:rsid w:val="005D5ED5"/>
    <w:rsid w:val="005D6402"/>
    <w:rsid w:val="005D6638"/>
    <w:rsid w:val="005E00F9"/>
    <w:rsid w:val="005E0927"/>
    <w:rsid w:val="005E1FE4"/>
    <w:rsid w:val="005E2C0A"/>
    <w:rsid w:val="005E3DD4"/>
    <w:rsid w:val="005E4F29"/>
    <w:rsid w:val="005E5FF7"/>
    <w:rsid w:val="005E616D"/>
    <w:rsid w:val="005E6B1D"/>
    <w:rsid w:val="005E79A3"/>
    <w:rsid w:val="005E7AD8"/>
    <w:rsid w:val="005F0999"/>
    <w:rsid w:val="005F1A42"/>
    <w:rsid w:val="005F21B0"/>
    <w:rsid w:val="005F22C4"/>
    <w:rsid w:val="005F34D1"/>
    <w:rsid w:val="005F3A50"/>
    <w:rsid w:val="005F47EB"/>
    <w:rsid w:val="005F588F"/>
    <w:rsid w:val="005F5BB9"/>
    <w:rsid w:val="005F6B09"/>
    <w:rsid w:val="006014F7"/>
    <w:rsid w:val="006019F1"/>
    <w:rsid w:val="00603EE1"/>
    <w:rsid w:val="00604AFA"/>
    <w:rsid w:val="00604F21"/>
    <w:rsid w:val="00606FA2"/>
    <w:rsid w:val="006075D8"/>
    <w:rsid w:val="00607A27"/>
    <w:rsid w:val="00610BCC"/>
    <w:rsid w:val="00610E93"/>
    <w:rsid w:val="006118B8"/>
    <w:rsid w:val="00612870"/>
    <w:rsid w:val="00612A7B"/>
    <w:rsid w:val="00614CA2"/>
    <w:rsid w:val="00615DCB"/>
    <w:rsid w:val="0061640B"/>
    <w:rsid w:val="006166F9"/>
    <w:rsid w:val="0061696F"/>
    <w:rsid w:val="0061781A"/>
    <w:rsid w:val="00617DA7"/>
    <w:rsid w:val="00620ABD"/>
    <w:rsid w:val="00621042"/>
    <w:rsid w:val="0062200A"/>
    <w:rsid w:val="0062203E"/>
    <w:rsid w:val="00622774"/>
    <w:rsid w:val="00622D84"/>
    <w:rsid w:val="00625639"/>
    <w:rsid w:val="00625867"/>
    <w:rsid w:val="00625D94"/>
    <w:rsid w:val="00626A0C"/>
    <w:rsid w:val="00626A18"/>
    <w:rsid w:val="00627AD1"/>
    <w:rsid w:val="00630749"/>
    <w:rsid w:val="00630C6A"/>
    <w:rsid w:val="00630E33"/>
    <w:rsid w:val="006331E0"/>
    <w:rsid w:val="00633A7F"/>
    <w:rsid w:val="00633AE6"/>
    <w:rsid w:val="00635934"/>
    <w:rsid w:val="00636453"/>
    <w:rsid w:val="0063711D"/>
    <w:rsid w:val="0063728A"/>
    <w:rsid w:val="00640A1F"/>
    <w:rsid w:val="0064507B"/>
    <w:rsid w:val="0064748D"/>
    <w:rsid w:val="00650A04"/>
    <w:rsid w:val="00651589"/>
    <w:rsid w:val="00651A64"/>
    <w:rsid w:val="0065313B"/>
    <w:rsid w:val="0065355F"/>
    <w:rsid w:val="0065397B"/>
    <w:rsid w:val="006572D5"/>
    <w:rsid w:val="0065779B"/>
    <w:rsid w:val="006635BE"/>
    <w:rsid w:val="0066621B"/>
    <w:rsid w:val="00666863"/>
    <w:rsid w:val="006677D0"/>
    <w:rsid w:val="00670137"/>
    <w:rsid w:val="006702B1"/>
    <w:rsid w:val="0067211B"/>
    <w:rsid w:val="0067238B"/>
    <w:rsid w:val="0067245A"/>
    <w:rsid w:val="00675F6A"/>
    <w:rsid w:val="006760AD"/>
    <w:rsid w:val="00676A06"/>
    <w:rsid w:val="00676F2B"/>
    <w:rsid w:val="006773B0"/>
    <w:rsid w:val="00677AA6"/>
    <w:rsid w:val="00680D2A"/>
    <w:rsid w:val="0068412D"/>
    <w:rsid w:val="006848E0"/>
    <w:rsid w:val="00684E87"/>
    <w:rsid w:val="0068525C"/>
    <w:rsid w:val="00685762"/>
    <w:rsid w:val="006918F7"/>
    <w:rsid w:val="00693105"/>
    <w:rsid w:val="00693E0A"/>
    <w:rsid w:val="00695AE2"/>
    <w:rsid w:val="00696E57"/>
    <w:rsid w:val="006973F2"/>
    <w:rsid w:val="00697707"/>
    <w:rsid w:val="006A00F6"/>
    <w:rsid w:val="006A012C"/>
    <w:rsid w:val="006A0ECD"/>
    <w:rsid w:val="006A0F16"/>
    <w:rsid w:val="006A1D87"/>
    <w:rsid w:val="006A256F"/>
    <w:rsid w:val="006A2601"/>
    <w:rsid w:val="006A2DAD"/>
    <w:rsid w:val="006A3A29"/>
    <w:rsid w:val="006A4796"/>
    <w:rsid w:val="006A530C"/>
    <w:rsid w:val="006A5616"/>
    <w:rsid w:val="006A66B0"/>
    <w:rsid w:val="006A6826"/>
    <w:rsid w:val="006A7F49"/>
    <w:rsid w:val="006B67AB"/>
    <w:rsid w:val="006B79AF"/>
    <w:rsid w:val="006B7AEC"/>
    <w:rsid w:val="006C05AD"/>
    <w:rsid w:val="006C06C0"/>
    <w:rsid w:val="006C0AF4"/>
    <w:rsid w:val="006C12B0"/>
    <w:rsid w:val="006C269A"/>
    <w:rsid w:val="006C2729"/>
    <w:rsid w:val="006C2983"/>
    <w:rsid w:val="006C34F6"/>
    <w:rsid w:val="006C5C0A"/>
    <w:rsid w:val="006D13E3"/>
    <w:rsid w:val="006D173A"/>
    <w:rsid w:val="006D1FFB"/>
    <w:rsid w:val="006D213D"/>
    <w:rsid w:val="006D2662"/>
    <w:rsid w:val="006D4AA3"/>
    <w:rsid w:val="006D4C32"/>
    <w:rsid w:val="006D5EAC"/>
    <w:rsid w:val="006D65F8"/>
    <w:rsid w:val="006D689B"/>
    <w:rsid w:val="006D73A4"/>
    <w:rsid w:val="006D7A6C"/>
    <w:rsid w:val="006D7E54"/>
    <w:rsid w:val="006E0D4C"/>
    <w:rsid w:val="006E2AF6"/>
    <w:rsid w:val="006E36F4"/>
    <w:rsid w:val="006E523E"/>
    <w:rsid w:val="006E546A"/>
    <w:rsid w:val="006E5B1D"/>
    <w:rsid w:val="006F0802"/>
    <w:rsid w:val="006F09A6"/>
    <w:rsid w:val="006F38EA"/>
    <w:rsid w:val="006F5427"/>
    <w:rsid w:val="006F6AFA"/>
    <w:rsid w:val="006F6C08"/>
    <w:rsid w:val="006F7189"/>
    <w:rsid w:val="006F7C49"/>
    <w:rsid w:val="00701643"/>
    <w:rsid w:val="007025F4"/>
    <w:rsid w:val="00702FF2"/>
    <w:rsid w:val="0070392E"/>
    <w:rsid w:val="00704365"/>
    <w:rsid w:val="00705DE7"/>
    <w:rsid w:val="00705FB3"/>
    <w:rsid w:val="00706335"/>
    <w:rsid w:val="00706AEA"/>
    <w:rsid w:val="00707E44"/>
    <w:rsid w:val="0071074D"/>
    <w:rsid w:val="0071117F"/>
    <w:rsid w:val="00712840"/>
    <w:rsid w:val="00713FC7"/>
    <w:rsid w:val="00714F4F"/>
    <w:rsid w:val="00715150"/>
    <w:rsid w:val="00715281"/>
    <w:rsid w:val="00715454"/>
    <w:rsid w:val="007203FB"/>
    <w:rsid w:val="00723F3B"/>
    <w:rsid w:val="00725A6D"/>
    <w:rsid w:val="0072633F"/>
    <w:rsid w:val="00727E42"/>
    <w:rsid w:val="00730661"/>
    <w:rsid w:val="007335D8"/>
    <w:rsid w:val="00733A44"/>
    <w:rsid w:val="00733A4C"/>
    <w:rsid w:val="00733C52"/>
    <w:rsid w:val="00733E1D"/>
    <w:rsid w:val="00737B9E"/>
    <w:rsid w:val="00737D10"/>
    <w:rsid w:val="007409D0"/>
    <w:rsid w:val="00740B36"/>
    <w:rsid w:val="00744078"/>
    <w:rsid w:val="00744932"/>
    <w:rsid w:val="007457FA"/>
    <w:rsid w:val="00747A5A"/>
    <w:rsid w:val="00750454"/>
    <w:rsid w:val="00750FDE"/>
    <w:rsid w:val="00751CB2"/>
    <w:rsid w:val="007542F5"/>
    <w:rsid w:val="007548C3"/>
    <w:rsid w:val="00755696"/>
    <w:rsid w:val="00757427"/>
    <w:rsid w:val="00757CB7"/>
    <w:rsid w:val="00760E87"/>
    <w:rsid w:val="0076216A"/>
    <w:rsid w:val="00763BD9"/>
    <w:rsid w:val="00763BEA"/>
    <w:rsid w:val="00770827"/>
    <w:rsid w:val="007714CD"/>
    <w:rsid w:val="00771668"/>
    <w:rsid w:val="00772AD8"/>
    <w:rsid w:val="00775398"/>
    <w:rsid w:val="007757BB"/>
    <w:rsid w:val="00776FE7"/>
    <w:rsid w:val="00780BF3"/>
    <w:rsid w:val="00782379"/>
    <w:rsid w:val="00783C1C"/>
    <w:rsid w:val="00784F34"/>
    <w:rsid w:val="00785BD4"/>
    <w:rsid w:val="007877F2"/>
    <w:rsid w:val="00787F0C"/>
    <w:rsid w:val="0079020C"/>
    <w:rsid w:val="007914FE"/>
    <w:rsid w:val="00791B72"/>
    <w:rsid w:val="00791F86"/>
    <w:rsid w:val="0079205F"/>
    <w:rsid w:val="00792316"/>
    <w:rsid w:val="00794232"/>
    <w:rsid w:val="007945C6"/>
    <w:rsid w:val="00794CE8"/>
    <w:rsid w:val="00795147"/>
    <w:rsid w:val="007954EF"/>
    <w:rsid w:val="00795B21"/>
    <w:rsid w:val="007A1F71"/>
    <w:rsid w:val="007A4C0D"/>
    <w:rsid w:val="007A591E"/>
    <w:rsid w:val="007A6103"/>
    <w:rsid w:val="007A69E7"/>
    <w:rsid w:val="007A71B1"/>
    <w:rsid w:val="007A72F8"/>
    <w:rsid w:val="007A732C"/>
    <w:rsid w:val="007B00C9"/>
    <w:rsid w:val="007B3276"/>
    <w:rsid w:val="007B3A0C"/>
    <w:rsid w:val="007B4005"/>
    <w:rsid w:val="007B5231"/>
    <w:rsid w:val="007B6D5A"/>
    <w:rsid w:val="007C08A3"/>
    <w:rsid w:val="007C16DD"/>
    <w:rsid w:val="007C276B"/>
    <w:rsid w:val="007C303E"/>
    <w:rsid w:val="007C3CFD"/>
    <w:rsid w:val="007C3E34"/>
    <w:rsid w:val="007C4654"/>
    <w:rsid w:val="007C5402"/>
    <w:rsid w:val="007C7742"/>
    <w:rsid w:val="007C7ED7"/>
    <w:rsid w:val="007D00C7"/>
    <w:rsid w:val="007D2DA6"/>
    <w:rsid w:val="007D30E0"/>
    <w:rsid w:val="007D416C"/>
    <w:rsid w:val="007D539B"/>
    <w:rsid w:val="007D743C"/>
    <w:rsid w:val="007D7E8E"/>
    <w:rsid w:val="007E07B5"/>
    <w:rsid w:val="007E126A"/>
    <w:rsid w:val="007E4000"/>
    <w:rsid w:val="007E5338"/>
    <w:rsid w:val="007E5388"/>
    <w:rsid w:val="007E5900"/>
    <w:rsid w:val="007F135B"/>
    <w:rsid w:val="007F15E7"/>
    <w:rsid w:val="007F19EF"/>
    <w:rsid w:val="007F28A7"/>
    <w:rsid w:val="007F7350"/>
    <w:rsid w:val="007F77BC"/>
    <w:rsid w:val="008014D6"/>
    <w:rsid w:val="0080159B"/>
    <w:rsid w:val="00802308"/>
    <w:rsid w:val="00802954"/>
    <w:rsid w:val="00804CC1"/>
    <w:rsid w:val="00806502"/>
    <w:rsid w:val="008068E6"/>
    <w:rsid w:val="008077BA"/>
    <w:rsid w:val="008111B4"/>
    <w:rsid w:val="008123CD"/>
    <w:rsid w:val="00812B66"/>
    <w:rsid w:val="00813191"/>
    <w:rsid w:val="0081321E"/>
    <w:rsid w:val="0081339F"/>
    <w:rsid w:val="00814BD5"/>
    <w:rsid w:val="008202CE"/>
    <w:rsid w:val="00821081"/>
    <w:rsid w:val="0082271C"/>
    <w:rsid w:val="008247E7"/>
    <w:rsid w:val="00827DF6"/>
    <w:rsid w:val="00832130"/>
    <w:rsid w:val="008323B0"/>
    <w:rsid w:val="00833616"/>
    <w:rsid w:val="0083401C"/>
    <w:rsid w:val="00836FCF"/>
    <w:rsid w:val="00837DB2"/>
    <w:rsid w:val="008413D6"/>
    <w:rsid w:val="008430A6"/>
    <w:rsid w:val="00843112"/>
    <w:rsid w:val="008432CB"/>
    <w:rsid w:val="00844E9A"/>
    <w:rsid w:val="00844F26"/>
    <w:rsid w:val="00846920"/>
    <w:rsid w:val="008506F9"/>
    <w:rsid w:val="00852EE9"/>
    <w:rsid w:val="00852FDC"/>
    <w:rsid w:val="008538E4"/>
    <w:rsid w:val="00857313"/>
    <w:rsid w:val="008576F0"/>
    <w:rsid w:val="0086055B"/>
    <w:rsid w:val="00860678"/>
    <w:rsid w:val="0086206E"/>
    <w:rsid w:val="0086234E"/>
    <w:rsid w:val="00863006"/>
    <w:rsid w:val="00863CD5"/>
    <w:rsid w:val="00866F47"/>
    <w:rsid w:val="00867018"/>
    <w:rsid w:val="0086798E"/>
    <w:rsid w:val="00872C14"/>
    <w:rsid w:val="00872E89"/>
    <w:rsid w:val="0087543C"/>
    <w:rsid w:val="00875F68"/>
    <w:rsid w:val="008769A2"/>
    <w:rsid w:val="00877DE3"/>
    <w:rsid w:val="00877F3E"/>
    <w:rsid w:val="0088038E"/>
    <w:rsid w:val="00881800"/>
    <w:rsid w:val="0088262A"/>
    <w:rsid w:val="0088282E"/>
    <w:rsid w:val="008829DC"/>
    <w:rsid w:val="008836AB"/>
    <w:rsid w:val="00883A2C"/>
    <w:rsid w:val="008849E4"/>
    <w:rsid w:val="00887F49"/>
    <w:rsid w:val="0089001A"/>
    <w:rsid w:val="00892B61"/>
    <w:rsid w:val="00892C36"/>
    <w:rsid w:val="00893FF5"/>
    <w:rsid w:val="00894B29"/>
    <w:rsid w:val="00896234"/>
    <w:rsid w:val="00896568"/>
    <w:rsid w:val="00897834"/>
    <w:rsid w:val="008A0CDF"/>
    <w:rsid w:val="008A12C4"/>
    <w:rsid w:val="008A2719"/>
    <w:rsid w:val="008A3D98"/>
    <w:rsid w:val="008A4402"/>
    <w:rsid w:val="008A516F"/>
    <w:rsid w:val="008A675B"/>
    <w:rsid w:val="008A6E84"/>
    <w:rsid w:val="008B016E"/>
    <w:rsid w:val="008B0B58"/>
    <w:rsid w:val="008B13BA"/>
    <w:rsid w:val="008B1870"/>
    <w:rsid w:val="008B399A"/>
    <w:rsid w:val="008B4A9B"/>
    <w:rsid w:val="008B5AAE"/>
    <w:rsid w:val="008B5DC9"/>
    <w:rsid w:val="008B6D6B"/>
    <w:rsid w:val="008B7114"/>
    <w:rsid w:val="008B75BB"/>
    <w:rsid w:val="008C0062"/>
    <w:rsid w:val="008C0626"/>
    <w:rsid w:val="008C24DF"/>
    <w:rsid w:val="008C32E2"/>
    <w:rsid w:val="008C355D"/>
    <w:rsid w:val="008C3C4F"/>
    <w:rsid w:val="008C6843"/>
    <w:rsid w:val="008C6931"/>
    <w:rsid w:val="008C749D"/>
    <w:rsid w:val="008C7F08"/>
    <w:rsid w:val="008D1154"/>
    <w:rsid w:val="008D30B8"/>
    <w:rsid w:val="008D31C5"/>
    <w:rsid w:val="008D3661"/>
    <w:rsid w:val="008D3C74"/>
    <w:rsid w:val="008D3DD9"/>
    <w:rsid w:val="008D5908"/>
    <w:rsid w:val="008D6773"/>
    <w:rsid w:val="008D7BD6"/>
    <w:rsid w:val="008E05DD"/>
    <w:rsid w:val="008E1660"/>
    <w:rsid w:val="008E2682"/>
    <w:rsid w:val="008E52C6"/>
    <w:rsid w:val="008E59A1"/>
    <w:rsid w:val="008E5D37"/>
    <w:rsid w:val="008E79C5"/>
    <w:rsid w:val="008E7BF7"/>
    <w:rsid w:val="008E7EC9"/>
    <w:rsid w:val="008F0430"/>
    <w:rsid w:val="008F1A9C"/>
    <w:rsid w:val="008F27E8"/>
    <w:rsid w:val="008F43B6"/>
    <w:rsid w:val="008F493C"/>
    <w:rsid w:val="008F5D62"/>
    <w:rsid w:val="00900312"/>
    <w:rsid w:val="00900F9E"/>
    <w:rsid w:val="00901B58"/>
    <w:rsid w:val="00902D95"/>
    <w:rsid w:val="00903051"/>
    <w:rsid w:val="009035B6"/>
    <w:rsid w:val="00904573"/>
    <w:rsid w:val="009070A0"/>
    <w:rsid w:val="009104C4"/>
    <w:rsid w:val="00912BFE"/>
    <w:rsid w:val="00914E53"/>
    <w:rsid w:val="009158F0"/>
    <w:rsid w:val="00915F55"/>
    <w:rsid w:val="00916EEF"/>
    <w:rsid w:val="009179D5"/>
    <w:rsid w:val="009202DA"/>
    <w:rsid w:val="009205FA"/>
    <w:rsid w:val="00922446"/>
    <w:rsid w:val="0092271A"/>
    <w:rsid w:val="0092538C"/>
    <w:rsid w:val="00926998"/>
    <w:rsid w:val="00926DCF"/>
    <w:rsid w:val="00927281"/>
    <w:rsid w:val="0092782F"/>
    <w:rsid w:val="00927F2A"/>
    <w:rsid w:val="00930124"/>
    <w:rsid w:val="00930EBB"/>
    <w:rsid w:val="00932C01"/>
    <w:rsid w:val="00934C30"/>
    <w:rsid w:val="00935DA1"/>
    <w:rsid w:val="009365F6"/>
    <w:rsid w:val="0094017E"/>
    <w:rsid w:val="009404A5"/>
    <w:rsid w:val="0094163F"/>
    <w:rsid w:val="009435F7"/>
    <w:rsid w:val="00945292"/>
    <w:rsid w:val="00945454"/>
    <w:rsid w:val="00947627"/>
    <w:rsid w:val="00947FF8"/>
    <w:rsid w:val="00950CFE"/>
    <w:rsid w:val="00951C01"/>
    <w:rsid w:val="009520CF"/>
    <w:rsid w:val="00953BEE"/>
    <w:rsid w:val="00954C8E"/>
    <w:rsid w:val="00955AA5"/>
    <w:rsid w:val="0096017B"/>
    <w:rsid w:val="0096026A"/>
    <w:rsid w:val="0096077D"/>
    <w:rsid w:val="00960AA5"/>
    <w:rsid w:val="00961965"/>
    <w:rsid w:val="00961F06"/>
    <w:rsid w:val="009649AE"/>
    <w:rsid w:val="00964B20"/>
    <w:rsid w:val="00966695"/>
    <w:rsid w:val="0096725B"/>
    <w:rsid w:val="009675DF"/>
    <w:rsid w:val="009713F2"/>
    <w:rsid w:val="009728CD"/>
    <w:rsid w:val="00975342"/>
    <w:rsid w:val="00980432"/>
    <w:rsid w:val="00982317"/>
    <w:rsid w:val="009824C6"/>
    <w:rsid w:val="00983C83"/>
    <w:rsid w:val="009841C8"/>
    <w:rsid w:val="00986CC3"/>
    <w:rsid w:val="009870A4"/>
    <w:rsid w:val="00987E99"/>
    <w:rsid w:val="00992998"/>
    <w:rsid w:val="00992D99"/>
    <w:rsid w:val="00994CEA"/>
    <w:rsid w:val="0099518F"/>
    <w:rsid w:val="00995843"/>
    <w:rsid w:val="00996CA2"/>
    <w:rsid w:val="00997710"/>
    <w:rsid w:val="009A0458"/>
    <w:rsid w:val="009A0578"/>
    <w:rsid w:val="009A2CDC"/>
    <w:rsid w:val="009A411F"/>
    <w:rsid w:val="009A5264"/>
    <w:rsid w:val="009A5C34"/>
    <w:rsid w:val="009A648D"/>
    <w:rsid w:val="009A66C4"/>
    <w:rsid w:val="009A6F40"/>
    <w:rsid w:val="009A78C9"/>
    <w:rsid w:val="009A7C4D"/>
    <w:rsid w:val="009B0549"/>
    <w:rsid w:val="009B0D9F"/>
    <w:rsid w:val="009B1D9A"/>
    <w:rsid w:val="009B2796"/>
    <w:rsid w:val="009B41A9"/>
    <w:rsid w:val="009B41F5"/>
    <w:rsid w:val="009B5206"/>
    <w:rsid w:val="009B62B5"/>
    <w:rsid w:val="009B7548"/>
    <w:rsid w:val="009C09B6"/>
    <w:rsid w:val="009C1884"/>
    <w:rsid w:val="009C6F0F"/>
    <w:rsid w:val="009D016E"/>
    <w:rsid w:val="009D1741"/>
    <w:rsid w:val="009D18AB"/>
    <w:rsid w:val="009D1EEF"/>
    <w:rsid w:val="009D327B"/>
    <w:rsid w:val="009D7736"/>
    <w:rsid w:val="009E0F21"/>
    <w:rsid w:val="009E1FA1"/>
    <w:rsid w:val="009E2644"/>
    <w:rsid w:val="009E38C0"/>
    <w:rsid w:val="009E6234"/>
    <w:rsid w:val="009E62FF"/>
    <w:rsid w:val="009E677B"/>
    <w:rsid w:val="009E704E"/>
    <w:rsid w:val="009F0352"/>
    <w:rsid w:val="009F069E"/>
    <w:rsid w:val="009F0EF2"/>
    <w:rsid w:val="009F1115"/>
    <w:rsid w:val="009F326B"/>
    <w:rsid w:val="009F32C6"/>
    <w:rsid w:val="009F35D5"/>
    <w:rsid w:val="009F3848"/>
    <w:rsid w:val="009F38C6"/>
    <w:rsid w:val="009F7A09"/>
    <w:rsid w:val="00A01CD3"/>
    <w:rsid w:val="00A02BC2"/>
    <w:rsid w:val="00A033DF"/>
    <w:rsid w:val="00A04E55"/>
    <w:rsid w:val="00A04FAF"/>
    <w:rsid w:val="00A05C54"/>
    <w:rsid w:val="00A062C9"/>
    <w:rsid w:val="00A10EBD"/>
    <w:rsid w:val="00A1261B"/>
    <w:rsid w:val="00A12A99"/>
    <w:rsid w:val="00A12DE4"/>
    <w:rsid w:val="00A151BC"/>
    <w:rsid w:val="00A16210"/>
    <w:rsid w:val="00A17A7A"/>
    <w:rsid w:val="00A21C1F"/>
    <w:rsid w:val="00A22EC6"/>
    <w:rsid w:val="00A26467"/>
    <w:rsid w:val="00A26EDF"/>
    <w:rsid w:val="00A27651"/>
    <w:rsid w:val="00A2799B"/>
    <w:rsid w:val="00A306E6"/>
    <w:rsid w:val="00A317F4"/>
    <w:rsid w:val="00A33D31"/>
    <w:rsid w:val="00A35177"/>
    <w:rsid w:val="00A35D8B"/>
    <w:rsid w:val="00A35EA5"/>
    <w:rsid w:val="00A3657F"/>
    <w:rsid w:val="00A44E8A"/>
    <w:rsid w:val="00A5104E"/>
    <w:rsid w:val="00A51341"/>
    <w:rsid w:val="00A52435"/>
    <w:rsid w:val="00A5267C"/>
    <w:rsid w:val="00A61316"/>
    <w:rsid w:val="00A615BC"/>
    <w:rsid w:val="00A63826"/>
    <w:rsid w:val="00A63EE9"/>
    <w:rsid w:val="00A64874"/>
    <w:rsid w:val="00A65212"/>
    <w:rsid w:val="00A654E3"/>
    <w:rsid w:val="00A65722"/>
    <w:rsid w:val="00A65D8D"/>
    <w:rsid w:val="00A67ECF"/>
    <w:rsid w:val="00A70B97"/>
    <w:rsid w:val="00A711A7"/>
    <w:rsid w:val="00A73A3A"/>
    <w:rsid w:val="00A7478A"/>
    <w:rsid w:val="00A758CD"/>
    <w:rsid w:val="00A75A19"/>
    <w:rsid w:val="00A75CFE"/>
    <w:rsid w:val="00A76690"/>
    <w:rsid w:val="00A7688D"/>
    <w:rsid w:val="00A77A65"/>
    <w:rsid w:val="00A807FB"/>
    <w:rsid w:val="00A80867"/>
    <w:rsid w:val="00A826C5"/>
    <w:rsid w:val="00A82B4B"/>
    <w:rsid w:val="00A834B9"/>
    <w:rsid w:val="00A838DA"/>
    <w:rsid w:val="00A86E45"/>
    <w:rsid w:val="00A872FF"/>
    <w:rsid w:val="00A873A5"/>
    <w:rsid w:val="00A90095"/>
    <w:rsid w:val="00A90BCF"/>
    <w:rsid w:val="00A9139D"/>
    <w:rsid w:val="00A9175A"/>
    <w:rsid w:val="00A938D2"/>
    <w:rsid w:val="00A94BB4"/>
    <w:rsid w:val="00A963C7"/>
    <w:rsid w:val="00A97868"/>
    <w:rsid w:val="00AA0A4C"/>
    <w:rsid w:val="00AA1F38"/>
    <w:rsid w:val="00AA67A7"/>
    <w:rsid w:val="00AA699F"/>
    <w:rsid w:val="00AA7BC6"/>
    <w:rsid w:val="00AB1092"/>
    <w:rsid w:val="00AB3986"/>
    <w:rsid w:val="00AB40AF"/>
    <w:rsid w:val="00AB7A39"/>
    <w:rsid w:val="00AC0214"/>
    <w:rsid w:val="00AC0518"/>
    <w:rsid w:val="00AC06DE"/>
    <w:rsid w:val="00AC0E80"/>
    <w:rsid w:val="00AC2670"/>
    <w:rsid w:val="00AC3D3D"/>
    <w:rsid w:val="00AC4647"/>
    <w:rsid w:val="00AC5742"/>
    <w:rsid w:val="00AC5E54"/>
    <w:rsid w:val="00AC666F"/>
    <w:rsid w:val="00AD25F7"/>
    <w:rsid w:val="00AD2692"/>
    <w:rsid w:val="00AD2944"/>
    <w:rsid w:val="00AD2FAF"/>
    <w:rsid w:val="00AD387B"/>
    <w:rsid w:val="00AD49D5"/>
    <w:rsid w:val="00AD7119"/>
    <w:rsid w:val="00AD7D66"/>
    <w:rsid w:val="00AE1F26"/>
    <w:rsid w:val="00AE3161"/>
    <w:rsid w:val="00AE61DB"/>
    <w:rsid w:val="00AE69FF"/>
    <w:rsid w:val="00AE71AC"/>
    <w:rsid w:val="00AE7BAD"/>
    <w:rsid w:val="00AF061A"/>
    <w:rsid w:val="00AF12BE"/>
    <w:rsid w:val="00AF19AE"/>
    <w:rsid w:val="00AF2BF0"/>
    <w:rsid w:val="00AF3331"/>
    <w:rsid w:val="00AF4A41"/>
    <w:rsid w:val="00AF5ABC"/>
    <w:rsid w:val="00AF613A"/>
    <w:rsid w:val="00B00836"/>
    <w:rsid w:val="00B01AB1"/>
    <w:rsid w:val="00B03139"/>
    <w:rsid w:val="00B032EB"/>
    <w:rsid w:val="00B033CA"/>
    <w:rsid w:val="00B045F3"/>
    <w:rsid w:val="00B053CC"/>
    <w:rsid w:val="00B0609D"/>
    <w:rsid w:val="00B077ED"/>
    <w:rsid w:val="00B1145F"/>
    <w:rsid w:val="00B1164C"/>
    <w:rsid w:val="00B12D62"/>
    <w:rsid w:val="00B14330"/>
    <w:rsid w:val="00B160DD"/>
    <w:rsid w:val="00B17AD4"/>
    <w:rsid w:val="00B17FC6"/>
    <w:rsid w:val="00B205F1"/>
    <w:rsid w:val="00B21DE5"/>
    <w:rsid w:val="00B220B4"/>
    <w:rsid w:val="00B2445B"/>
    <w:rsid w:val="00B2483B"/>
    <w:rsid w:val="00B249D6"/>
    <w:rsid w:val="00B24C38"/>
    <w:rsid w:val="00B259FC"/>
    <w:rsid w:val="00B27CCF"/>
    <w:rsid w:val="00B303A8"/>
    <w:rsid w:val="00B30627"/>
    <w:rsid w:val="00B32D52"/>
    <w:rsid w:val="00B3366F"/>
    <w:rsid w:val="00B3428C"/>
    <w:rsid w:val="00B36026"/>
    <w:rsid w:val="00B361A9"/>
    <w:rsid w:val="00B4068D"/>
    <w:rsid w:val="00B416D8"/>
    <w:rsid w:val="00B41F03"/>
    <w:rsid w:val="00B427F7"/>
    <w:rsid w:val="00B42C9D"/>
    <w:rsid w:val="00B4424D"/>
    <w:rsid w:val="00B4429B"/>
    <w:rsid w:val="00B50DCF"/>
    <w:rsid w:val="00B514EB"/>
    <w:rsid w:val="00B52513"/>
    <w:rsid w:val="00B5322D"/>
    <w:rsid w:val="00B534D1"/>
    <w:rsid w:val="00B55221"/>
    <w:rsid w:val="00B55B17"/>
    <w:rsid w:val="00B5671D"/>
    <w:rsid w:val="00B57C84"/>
    <w:rsid w:val="00B6100F"/>
    <w:rsid w:val="00B62D08"/>
    <w:rsid w:val="00B65043"/>
    <w:rsid w:val="00B6529C"/>
    <w:rsid w:val="00B65D91"/>
    <w:rsid w:val="00B665D1"/>
    <w:rsid w:val="00B675C3"/>
    <w:rsid w:val="00B70005"/>
    <w:rsid w:val="00B7147E"/>
    <w:rsid w:val="00B727DD"/>
    <w:rsid w:val="00B73E58"/>
    <w:rsid w:val="00B747F5"/>
    <w:rsid w:val="00B74A0C"/>
    <w:rsid w:val="00B75F14"/>
    <w:rsid w:val="00B761ED"/>
    <w:rsid w:val="00B801D7"/>
    <w:rsid w:val="00B8089E"/>
    <w:rsid w:val="00B81738"/>
    <w:rsid w:val="00B83922"/>
    <w:rsid w:val="00B83CDE"/>
    <w:rsid w:val="00B8450E"/>
    <w:rsid w:val="00B84B84"/>
    <w:rsid w:val="00B86609"/>
    <w:rsid w:val="00B87A1F"/>
    <w:rsid w:val="00B87E62"/>
    <w:rsid w:val="00B92403"/>
    <w:rsid w:val="00B9300E"/>
    <w:rsid w:val="00B934FB"/>
    <w:rsid w:val="00B93DC6"/>
    <w:rsid w:val="00BA0DA3"/>
    <w:rsid w:val="00BA0FC4"/>
    <w:rsid w:val="00BA311D"/>
    <w:rsid w:val="00BA45D7"/>
    <w:rsid w:val="00BA6621"/>
    <w:rsid w:val="00BB013D"/>
    <w:rsid w:val="00BB1861"/>
    <w:rsid w:val="00BB25C7"/>
    <w:rsid w:val="00BB30A1"/>
    <w:rsid w:val="00BB4AE8"/>
    <w:rsid w:val="00BB529E"/>
    <w:rsid w:val="00BB536F"/>
    <w:rsid w:val="00BB58B6"/>
    <w:rsid w:val="00BB663E"/>
    <w:rsid w:val="00BB66FA"/>
    <w:rsid w:val="00BB6EFE"/>
    <w:rsid w:val="00BC0BFC"/>
    <w:rsid w:val="00BC1549"/>
    <w:rsid w:val="00BC36F3"/>
    <w:rsid w:val="00BC4868"/>
    <w:rsid w:val="00BC688E"/>
    <w:rsid w:val="00BC6B18"/>
    <w:rsid w:val="00BC6B5A"/>
    <w:rsid w:val="00BC72D6"/>
    <w:rsid w:val="00BC7529"/>
    <w:rsid w:val="00BD14B2"/>
    <w:rsid w:val="00BD14FB"/>
    <w:rsid w:val="00BD22C3"/>
    <w:rsid w:val="00BD350F"/>
    <w:rsid w:val="00BD3576"/>
    <w:rsid w:val="00BD537F"/>
    <w:rsid w:val="00BD5531"/>
    <w:rsid w:val="00BE051C"/>
    <w:rsid w:val="00BE22AF"/>
    <w:rsid w:val="00BE496E"/>
    <w:rsid w:val="00BE6A1C"/>
    <w:rsid w:val="00BE7813"/>
    <w:rsid w:val="00BE7E6C"/>
    <w:rsid w:val="00BF0526"/>
    <w:rsid w:val="00BF17B2"/>
    <w:rsid w:val="00BF4828"/>
    <w:rsid w:val="00BF498C"/>
    <w:rsid w:val="00BF7B96"/>
    <w:rsid w:val="00C01C44"/>
    <w:rsid w:val="00C02993"/>
    <w:rsid w:val="00C02EED"/>
    <w:rsid w:val="00C05592"/>
    <w:rsid w:val="00C06CEB"/>
    <w:rsid w:val="00C06F70"/>
    <w:rsid w:val="00C0778E"/>
    <w:rsid w:val="00C11533"/>
    <w:rsid w:val="00C120BF"/>
    <w:rsid w:val="00C12EDF"/>
    <w:rsid w:val="00C13CBE"/>
    <w:rsid w:val="00C148C9"/>
    <w:rsid w:val="00C161FE"/>
    <w:rsid w:val="00C16598"/>
    <w:rsid w:val="00C17966"/>
    <w:rsid w:val="00C17AD3"/>
    <w:rsid w:val="00C17FA4"/>
    <w:rsid w:val="00C20E0B"/>
    <w:rsid w:val="00C20E90"/>
    <w:rsid w:val="00C215CD"/>
    <w:rsid w:val="00C238E6"/>
    <w:rsid w:val="00C23A26"/>
    <w:rsid w:val="00C241A4"/>
    <w:rsid w:val="00C2445A"/>
    <w:rsid w:val="00C24F70"/>
    <w:rsid w:val="00C26A38"/>
    <w:rsid w:val="00C27D0A"/>
    <w:rsid w:val="00C306AE"/>
    <w:rsid w:val="00C3089C"/>
    <w:rsid w:val="00C31555"/>
    <w:rsid w:val="00C32279"/>
    <w:rsid w:val="00C322C1"/>
    <w:rsid w:val="00C361FE"/>
    <w:rsid w:val="00C376D9"/>
    <w:rsid w:val="00C3797D"/>
    <w:rsid w:val="00C41D81"/>
    <w:rsid w:val="00C41F56"/>
    <w:rsid w:val="00C431C6"/>
    <w:rsid w:val="00C43641"/>
    <w:rsid w:val="00C46F23"/>
    <w:rsid w:val="00C47425"/>
    <w:rsid w:val="00C47FBF"/>
    <w:rsid w:val="00C50B13"/>
    <w:rsid w:val="00C50B42"/>
    <w:rsid w:val="00C518F7"/>
    <w:rsid w:val="00C52A2D"/>
    <w:rsid w:val="00C53FCF"/>
    <w:rsid w:val="00C56517"/>
    <w:rsid w:val="00C568D7"/>
    <w:rsid w:val="00C5690D"/>
    <w:rsid w:val="00C56FD0"/>
    <w:rsid w:val="00C57CE7"/>
    <w:rsid w:val="00C6320A"/>
    <w:rsid w:val="00C642B1"/>
    <w:rsid w:val="00C65145"/>
    <w:rsid w:val="00C67071"/>
    <w:rsid w:val="00C679B0"/>
    <w:rsid w:val="00C70110"/>
    <w:rsid w:val="00C7077C"/>
    <w:rsid w:val="00C70DF8"/>
    <w:rsid w:val="00C71833"/>
    <w:rsid w:val="00C7191F"/>
    <w:rsid w:val="00C726B2"/>
    <w:rsid w:val="00C72BFD"/>
    <w:rsid w:val="00C77DB7"/>
    <w:rsid w:val="00C81468"/>
    <w:rsid w:val="00C82283"/>
    <w:rsid w:val="00C82AE5"/>
    <w:rsid w:val="00C85B0C"/>
    <w:rsid w:val="00C85E4D"/>
    <w:rsid w:val="00C86C90"/>
    <w:rsid w:val="00C8796F"/>
    <w:rsid w:val="00C87CDB"/>
    <w:rsid w:val="00C90876"/>
    <w:rsid w:val="00C90F24"/>
    <w:rsid w:val="00C9136A"/>
    <w:rsid w:val="00C91F4C"/>
    <w:rsid w:val="00C92C0D"/>
    <w:rsid w:val="00C941A4"/>
    <w:rsid w:val="00C94686"/>
    <w:rsid w:val="00C96117"/>
    <w:rsid w:val="00C96BB7"/>
    <w:rsid w:val="00C97761"/>
    <w:rsid w:val="00C97A1A"/>
    <w:rsid w:val="00CA06FF"/>
    <w:rsid w:val="00CA1BCF"/>
    <w:rsid w:val="00CA2CA1"/>
    <w:rsid w:val="00CA4672"/>
    <w:rsid w:val="00CA4C3A"/>
    <w:rsid w:val="00CA7A4D"/>
    <w:rsid w:val="00CA7EDC"/>
    <w:rsid w:val="00CB0991"/>
    <w:rsid w:val="00CB0C27"/>
    <w:rsid w:val="00CB4B2C"/>
    <w:rsid w:val="00CB4B5F"/>
    <w:rsid w:val="00CB567B"/>
    <w:rsid w:val="00CB6E54"/>
    <w:rsid w:val="00CB7650"/>
    <w:rsid w:val="00CB7A52"/>
    <w:rsid w:val="00CC0275"/>
    <w:rsid w:val="00CC0860"/>
    <w:rsid w:val="00CC1927"/>
    <w:rsid w:val="00CC24E8"/>
    <w:rsid w:val="00CC2D7E"/>
    <w:rsid w:val="00CC2EAA"/>
    <w:rsid w:val="00CC41BE"/>
    <w:rsid w:val="00CC5421"/>
    <w:rsid w:val="00CC64CE"/>
    <w:rsid w:val="00CC74A9"/>
    <w:rsid w:val="00CC7569"/>
    <w:rsid w:val="00CD024D"/>
    <w:rsid w:val="00CD3049"/>
    <w:rsid w:val="00CD32E7"/>
    <w:rsid w:val="00CD34D5"/>
    <w:rsid w:val="00CD4467"/>
    <w:rsid w:val="00CD48BB"/>
    <w:rsid w:val="00CE483E"/>
    <w:rsid w:val="00CE551E"/>
    <w:rsid w:val="00CE65E7"/>
    <w:rsid w:val="00CE724D"/>
    <w:rsid w:val="00CF1A0D"/>
    <w:rsid w:val="00CF1A4A"/>
    <w:rsid w:val="00CF22B3"/>
    <w:rsid w:val="00CF4394"/>
    <w:rsid w:val="00CF44F2"/>
    <w:rsid w:val="00CF58C7"/>
    <w:rsid w:val="00CF606B"/>
    <w:rsid w:val="00CF6854"/>
    <w:rsid w:val="00CF784A"/>
    <w:rsid w:val="00D0031F"/>
    <w:rsid w:val="00D01884"/>
    <w:rsid w:val="00D0214A"/>
    <w:rsid w:val="00D0230A"/>
    <w:rsid w:val="00D06AF1"/>
    <w:rsid w:val="00D079C7"/>
    <w:rsid w:val="00D07B3C"/>
    <w:rsid w:val="00D107A4"/>
    <w:rsid w:val="00D11881"/>
    <w:rsid w:val="00D126D9"/>
    <w:rsid w:val="00D1367D"/>
    <w:rsid w:val="00D1513F"/>
    <w:rsid w:val="00D1645D"/>
    <w:rsid w:val="00D172D7"/>
    <w:rsid w:val="00D21210"/>
    <w:rsid w:val="00D215B2"/>
    <w:rsid w:val="00D22660"/>
    <w:rsid w:val="00D259C1"/>
    <w:rsid w:val="00D25FED"/>
    <w:rsid w:val="00D273D4"/>
    <w:rsid w:val="00D30272"/>
    <w:rsid w:val="00D30634"/>
    <w:rsid w:val="00D31B76"/>
    <w:rsid w:val="00D34581"/>
    <w:rsid w:val="00D34E9D"/>
    <w:rsid w:val="00D35073"/>
    <w:rsid w:val="00D362BD"/>
    <w:rsid w:val="00D378FE"/>
    <w:rsid w:val="00D43473"/>
    <w:rsid w:val="00D46D0E"/>
    <w:rsid w:val="00D46D5D"/>
    <w:rsid w:val="00D47147"/>
    <w:rsid w:val="00D50385"/>
    <w:rsid w:val="00D547BD"/>
    <w:rsid w:val="00D563F7"/>
    <w:rsid w:val="00D572B2"/>
    <w:rsid w:val="00D60E83"/>
    <w:rsid w:val="00D614DC"/>
    <w:rsid w:val="00D61EF1"/>
    <w:rsid w:val="00D623C8"/>
    <w:rsid w:val="00D624C5"/>
    <w:rsid w:val="00D62627"/>
    <w:rsid w:val="00D650EF"/>
    <w:rsid w:val="00D651A2"/>
    <w:rsid w:val="00D66324"/>
    <w:rsid w:val="00D66B51"/>
    <w:rsid w:val="00D67191"/>
    <w:rsid w:val="00D67498"/>
    <w:rsid w:val="00D70BE7"/>
    <w:rsid w:val="00D70E1A"/>
    <w:rsid w:val="00D714D6"/>
    <w:rsid w:val="00D725BD"/>
    <w:rsid w:val="00D730CE"/>
    <w:rsid w:val="00D75714"/>
    <w:rsid w:val="00D75C03"/>
    <w:rsid w:val="00D76F8C"/>
    <w:rsid w:val="00D77D71"/>
    <w:rsid w:val="00D80D4C"/>
    <w:rsid w:val="00D8177F"/>
    <w:rsid w:val="00D81FBD"/>
    <w:rsid w:val="00D83BB7"/>
    <w:rsid w:val="00D83BD5"/>
    <w:rsid w:val="00D83C99"/>
    <w:rsid w:val="00D83F66"/>
    <w:rsid w:val="00D84608"/>
    <w:rsid w:val="00D85722"/>
    <w:rsid w:val="00D86F4F"/>
    <w:rsid w:val="00D87B39"/>
    <w:rsid w:val="00D9079C"/>
    <w:rsid w:val="00D909AE"/>
    <w:rsid w:val="00D9129A"/>
    <w:rsid w:val="00D91D81"/>
    <w:rsid w:val="00D92598"/>
    <w:rsid w:val="00D93C6A"/>
    <w:rsid w:val="00D94068"/>
    <w:rsid w:val="00D956A8"/>
    <w:rsid w:val="00D9707B"/>
    <w:rsid w:val="00D97104"/>
    <w:rsid w:val="00DA04C8"/>
    <w:rsid w:val="00DA2E85"/>
    <w:rsid w:val="00DA5255"/>
    <w:rsid w:val="00DA6D74"/>
    <w:rsid w:val="00DA739A"/>
    <w:rsid w:val="00DA796F"/>
    <w:rsid w:val="00DA7AC6"/>
    <w:rsid w:val="00DB0F36"/>
    <w:rsid w:val="00DB229D"/>
    <w:rsid w:val="00DB2781"/>
    <w:rsid w:val="00DB2E7D"/>
    <w:rsid w:val="00DB4099"/>
    <w:rsid w:val="00DB57BD"/>
    <w:rsid w:val="00DB7AB5"/>
    <w:rsid w:val="00DC12E2"/>
    <w:rsid w:val="00DC32EA"/>
    <w:rsid w:val="00DC3C48"/>
    <w:rsid w:val="00DC4811"/>
    <w:rsid w:val="00DC56DF"/>
    <w:rsid w:val="00DC58BD"/>
    <w:rsid w:val="00DC637F"/>
    <w:rsid w:val="00DC7977"/>
    <w:rsid w:val="00DD02D4"/>
    <w:rsid w:val="00DD0A86"/>
    <w:rsid w:val="00DD11DA"/>
    <w:rsid w:val="00DD1290"/>
    <w:rsid w:val="00DD2CB5"/>
    <w:rsid w:val="00DD4D6E"/>
    <w:rsid w:val="00DD500D"/>
    <w:rsid w:val="00DD5771"/>
    <w:rsid w:val="00DD64D6"/>
    <w:rsid w:val="00DE0C4A"/>
    <w:rsid w:val="00DE19B0"/>
    <w:rsid w:val="00DE2353"/>
    <w:rsid w:val="00DE2955"/>
    <w:rsid w:val="00DE306E"/>
    <w:rsid w:val="00DE34F1"/>
    <w:rsid w:val="00DE3AAF"/>
    <w:rsid w:val="00DE5B09"/>
    <w:rsid w:val="00DF0225"/>
    <w:rsid w:val="00DF1330"/>
    <w:rsid w:val="00DF1433"/>
    <w:rsid w:val="00DF1EB7"/>
    <w:rsid w:val="00DF333A"/>
    <w:rsid w:val="00DF5732"/>
    <w:rsid w:val="00E00480"/>
    <w:rsid w:val="00E0097D"/>
    <w:rsid w:val="00E00DF5"/>
    <w:rsid w:val="00E01DAC"/>
    <w:rsid w:val="00E0237E"/>
    <w:rsid w:val="00E039EC"/>
    <w:rsid w:val="00E04A34"/>
    <w:rsid w:val="00E04B19"/>
    <w:rsid w:val="00E05377"/>
    <w:rsid w:val="00E07035"/>
    <w:rsid w:val="00E078BC"/>
    <w:rsid w:val="00E07B8B"/>
    <w:rsid w:val="00E1094F"/>
    <w:rsid w:val="00E124E8"/>
    <w:rsid w:val="00E12B8D"/>
    <w:rsid w:val="00E12CE3"/>
    <w:rsid w:val="00E13445"/>
    <w:rsid w:val="00E13588"/>
    <w:rsid w:val="00E13A8D"/>
    <w:rsid w:val="00E157EE"/>
    <w:rsid w:val="00E22D9B"/>
    <w:rsid w:val="00E231A1"/>
    <w:rsid w:val="00E232C0"/>
    <w:rsid w:val="00E25251"/>
    <w:rsid w:val="00E2561D"/>
    <w:rsid w:val="00E266B4"/>
    <w:rsid w:val="00E27CE4"/>
    <w:rsid w:val="00E300BA"/>
    <w:rsid w:val="00E300D4"/>
    <w:rsid w:val="00E3041C"/>
    <w:rsid w:val="00E3299B"/>
    <w:rsid w:val="00E3300D"/>
    <w:rsid w:val="00E33EA5"/>
    <w:rsid w:val="00E378F0"/>
    <w:rsid w:val="00E4074F"/>
    <w:rsid w:val="00E40BB6"/>
    <w:rsid w:val="00E427E8"/>
    <w:rsid w:val="00E4377A"/>
    <w:rsid w:val="00E4426F"/>
    <w:rsid w:val="00E447E7"/>
    <w:rsid w:val="00E44FEA"/>
    <w:rsid w:val="00E45049"/>
    <w:rsid w:val="00E47D00"/>
    <w:rsid w:val="00E50396"/>
    <w:rsid w:val="00E5120D"/>
    <w:rsid w:val="00E521AA"/>
    <w:rsid w:val="00E53407"/>
    <w:rsid w:val="00E542B5"/>
    <w:rsid w:val="00E5451F"/>
    <w:rsid w:val="00E54615"/>
    <w:rsid w:val="00E55BAE"/>
    <w:rsid w:val="00E55C3C"/>
    <w:rsid w:val="00E5607C"/>
    <w:rsid w:val="00E56900"/>
    <w:rsid w:val="00E572FC"/>
    <w:rsid w:val="00E5773B"/>
    <w:rsid w:val="00E57BF4"/>
    <w:rsid w:val="00E62F9B"/>
    <w:rsid w:val="00E635B7"/>
    <w:rsid w:val="00E63BA0"/>
    <w:rsid w:val="00E640FB"/>
    <w:rsid w:val="00E64C33"/>
    <w:rsid w:val="00E679A8"/>
    <w:rsid w:val="00E70AAF"/>
    <w:rsid w:val="00E724E6"/>
    <w:rsid w:val="00E73CF3"/>
    <w:rsid w:val="00E74262"/>
    <w:rsid w:val="00E75755"/>
    <w:rsid w:val="00E762B3"/>
    <w:rsid w:val="00E80A91"/>
    <w:rsid w:val="00E80B23"/>
    <w:rsid w:val="00E82637"/>
    <w:rsid w:val="00E827BF"/>
    <w:rsid w:val="00E82FE6"/>
    <w:rsid w:val="00E83FDD"/>
    <w:rsid w:val="00E8503C"/>
    <w:rsid w:val="00E853E2"/>
    <w:rsid w:val="00E85932"/>
    <w:rsid w:val="00E86D3F"/>
    <w:rsid w:val="00E87584"/>
    <w:rsid w:val="00E90A7D"/>
    <w:rsid w:val="00E91BB3"/>
    <w:rsid w:val="00E92887"/>
    <w:rsid w:val="00E94D2C"/>
    <w:rsid w:val="00E94F46"/>
    <w:rsid w:val="00E964CF"/>
    <w:rsid w:val="00E97DF3"/>
    <w:rsid w:val="00E97E67"/>
    <w:rsid w:val="00EA1E4A"/>
    <w:rsid w:val="00EA2B60"/>
    <w:rsid w:val="00EA75C7"/>
    <w:rsid w:val="00EB0669"/>
    <w:rsid w:val="00EB0FD3"/>
    <w:rsid w:val="00EB3EE4"/>
    <w:rsid w:val="00EB4A4F"/>
    <w:rsid w:val="00EB528B"/>
    <w:rsid w:val="00EB5953"/>
    <w:rsid w:val="00EB706F"/>
    <w:rsid w:val="00EB7762"/>
    <w:rsid w:val="00EC0C61"/>
    <w:rsid w:val="00EC0FD9"/>
    <w:rsid w:val="00EC1C2B"/>
    <w:rsid w:val="00EC3164"/>
    <w:rsid w:val="00EC3A37"/>
    <w:rsid w:val="00EC5329"/>
    <w:rsid w:val="00EC68A2"/>
    <w:rsid w:val="00EC7A77"/>
    <w:rsid w:val="00ED33E8"/>
    <w:rsid w:val="00ED3568"/>
    <w:rsid w:val="00ED4602"/>
    <w:rsid w:val="00ED4F36"/>
    <w:rsid w:val="00ED5813"/>
    <w:rsid w:val="00ED627E"/>
    <w:rsid w:val="00ED7F4C"/>
    <w:rsid w:val="00EE1DDA"/>
    <w:rsid w:val="00EE1FA7"/>
    <w:rsid w:val="00EE2482"/>
    <w:rsid w:val="00EE2643"/>
    <w:rsid w:val="00EE2C07"/>
    <w:rsid w:val="00EE2F0E"/>
    <w:rsid w:val="00EE3133"/>
    <w:rsid w:val="00EE39A9"/>
    <w:rsid w:val="00EE39DA"/>
    <w:rsid w:val="00EE3C55"/>
    <w:rsid w:val="00EE4FF8"/>
    <w:rsid w:val="00EE5D87"/>
    <w:rsid w:val="00EE7561"/>
    <w:rsid w:val="00EF119F"/>
    <w:rsid w:val="00EF23A7"/>
    <w:rsid w:val="00EF3659"/>
    <w:rsid w:val="00EF368C"/>
    <w:rsid w:val="00EF39BE"/>
    <w:rsid w:val="00EF3F8A"/>
    <w:rsid w:val="00EF4495"/>
    <w:rsid w:val="00EF463B"/>
    <w:rsid w:val="00EF552A"/>
    <w:rsid w:val="00EF6A32"/>
    <w:rsid w:val="00EF73EF"/>
    <w:rsid w:val="00F0128F"/>
    <w:rsid w:val="00F02D93"/>
    <w:rsid w:val="00F02DE8"/>
    <w:rsid w:val="00F04013"/>
    <w:rsid w:val="00F04512"/>
    <w:rsid w:val="00F048EE"/>
    <w:rsid w:val="00F05E7E"/>
    <w:rsid w:val="00F06E0A"/>
    <w:rsid w:val="00F11211"/>
    <w:rsid w:val="00F11DF9"/>
    <w:rsid w:val="00F12BFD"/>
    <w:rsid w:val="00F12F34"/>
    <w:rsid w:val="00F13248"/>
    <w:rsid w:val="00F137E5"/>
    <w:rsid w:val="00F1616F"/>
    <w:rsid w:val="00F17847"/>
    <w:rsid w:val="00F179FE"/>
    <w:rsid w:val="00F20262"/>
    <w:rsid w:val="00F20376"/>
    <w:rsid w:val="00F220E5"/>
    <w:rsid w:val="00F22D7A"/>
    <w:rsid w:val="00F2479D"/>
    <w:rsid w:val="00F25854"/>
    <w:rsid w:val="00F262AF"/>
    <w:rsid w:val="00F3051A"/>
    <w:rsid w:val="00F31410"/>
    <w:rsid w:val="00F31B7B"/>
    <w:rsid w:val="00F31EDB"/>
    <w:rsid w:val="00F32525"/>
    <w:rsid w:val="00F32786"/>
    <w:rsid w:val="00F32D08"/>
    <w:rsid w:val="00F33486"/>
    <w:rsid w:val="00F35039"/>
    <w:rsid w:val="00F3534C"/>
    <w:rsid w:val="00F35F75"/>
    <w:rsid w:val="00F367CD"/>
    <w:rsid w:val="00F37043"/>
    <w:rsid w:val="00F42374"/>
    <w:rsid w:val="00F42481"/>
    <w:rsid w:val="00F42BB9"/>
    <w:rsid w:val="00F431A7"/>
    <w:rsid w:val="00F44041"/>
    <w:rsid w:val="00F44A5D"/>
    <w:rsid w:val="00F455C2"/>
    <w:rsid w:val="00F46AF8"/>
    <w:rsid w:val="00F50C98"/>
    <w:rsid w:val="00F53475"/>
    <w:rsid w:val="00F543ED"/>
    <w:rsid w:val="00F54DAE"/>
    <w:rsid w:val="00F55252"/>
    <w:rsid w:val="00F552EB"/>
    <w:rsid w:val="00F5608C"/>
    <w:rsid w:val="00F56CEA"/>
    <w:rsid w:val="00F61207"/>
    <w:rsid w:val="00F625A1"/>
    <w:rsid w:val="00F631E9"/>
    <w:rsid w:val="00F63C7B"/>
    <w:rsid w:val="00F64509"/>
    <w:rsid w:val="00F65E6A"/>
    <w:rsid w:val="00F662FD"/>
    <w:rsid w:val="00F67141"/>
    <w:rsid w:val="00F67973"/>
    <w:rsid w:val="00F707DE"/>
    <w:rsid w:val="00F70833"/>
    <w:rsid w:val="00F713BD"/>
    <w:rsid w:val="00F716DB"/>
    <w:rsid w:val="00F71B71"/>
    <w:rsid w:val="00F72177"/>
    <w:rsid w:val="00F72AEF"/>
    <w:rsid w:val="00F72E24"/>
    <w:rsid w:val="00F76969"/>
    <w:rsid w:val="00F76ADD"/>
    <w:rsid w:val="00F8108A"/>
    <w:rsid w:val="00F825A1"/>
    <w:rsid w:val="00F82E9F"/>
    <w:rsid w:val="00F83AE0"/>
    <w:rsid w:val="00F84B16"/>
    <w:rsid w:val="00F861A5"/>
    <w:rsid w:val="00F86590"/>
    <w:rsid w:val="00F91207"/>
    <w:rsid w:val="00F91340"/>
    <w:rsid w:val="00F93358"/>
    <w:rsid w:val="00F93886"/>
    <w:rsid w:val="00F94864"/>
    <w:rsid w:val="00F9497F"/>
    <w:rsid w:val="00F94AA8"/>
    <w:rsid w:val="00F9547E"/>
    <w:rsid w:val="00F95C9A"/>
    <w:rsid w:val="00F96567"/>
    <w:rsid w:val="00F9792A"/>
    <w:rsid w:val="00FA003C"/>
    <w:rsid w:val="00FA0435"/>
    <w:rsid w:val="00FA41D8"/>
    <w:rsid w:val="00FA475C"/>
    <w:rsid w:val="00FA4768"/>
    <w:rsid w:val="00FA529B"/>
    <w:rsid w:val="00FA61CD"/>
    <w:rsid w:val="00FB1532"/>
    <w:rsid w:val="00FB3843"/>
    <w:rsid w:val="00FB405B"/>
    <w:rsid w:val="00FB45A5"/>
    <w:rsid w:val="00FB5E3C"/>
    <w:rsid w:val="00FB5EEF"/>
    <w:rsid w:val="00FB61BB"/>
    <w:rsid w:val="00FB70F0"/>
    <w:rsid w:val="00FB76CB"/>
    <w:rsid w:val="00FC03FE"/>
    <w:rsid w:val="00FC15C9"/>
    <w:rsid w:val="00FC2A30"/>
    <w:rsid w:val="00FC4AB6"/>
    <w:rsid w:val="00FC5146"/>
    <w:rsid w:val="00FC5759"/>
    <w:rsid w:val="00FC7ACC"/>
    <w:rsid w:val="00FD05F0"/>
    <w:rsid w:val="00FD06DA"/>
    <w:rsid w:val="00FD1037"/>
    <w:rsid w:val="00FD114C"/>
    <w:rsid w:val="00FD398E"/>
    <w:rsid w:val="00FD518E"/>
    <w:rsid w:val="00FD6493"/>
    <w:rsid w:val="00FD783C"/>
    <w:rsid w:val="00FD7C3B"/>
    <w:rsid w:val="00FE08A4"/>
    <w:rsid w:val="00FE2105"/>
    <w:rsid w:val="00FE33EB"/>
    <w:rsid w:val="00FE5160"/>
    <w:rsid w:val="00FE5E23"/>
    <w:rsid w:val="00FE66A4"/>
    <w:rsid w:val="00FE6B2F"/>
    <w:rsid w:val="00FE77B1"/>
    <w:rsid w:val="00FF2DA8"/>
    <w:rsid w:val="00FF3064"/>
    <w:rsid w:val="00FF3F89"/>
    <w:rsid w:val="00FF415E"/>
    <w:rsid w:val="00FF5199"/>
    <w:rsid w:val="00FF7820"/>
  </w:rsids>
  <m:mathPr>
    <m:mathFont m:val="Cambria Math"/>
    <m:brkBin m:val="before"/>
    <m:brkBinSub m:val="--"/>
    <m:smallFrac m:val="0"/>
    <m:dispDef/>
    <m:lMargin m:val="0"/>
    <m:rMargin m:val="0"/>
    <m:defJc m:val="centerGroup"/>
    <m:wrapIndent m:val="1440"/>
    <m:intLim m:val="subSup"/>
    <m:naryLim m:val="undOvr"/>
  </m:mathPr>
  <w:themeFontLang w:val="es-PE" w:eastAsia="zh-TW" w:bidi="th-T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627CE0"/>
  <w15:docId w15:val="{AEC45EE6-3081-48AB-BF63-D45D5C8225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P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9129A"/>
    <w:pPr>
      <w:spacing w:after="0" w:line="240" w:lineRule="auto"/>
    </w:pPr>
    <w:rPr>
      <w:rFonts w:ascii="Arial Narrow" w:eastAsia="Times New Roman" w:hAnsi="Arial Narrow" w:cs="Times New Roman"/>
      <w:szCs w:val="24"/>
      <w:lang w:val="es-ES" w:eastAsia="es-ES"/>
    </w:rPr>
  </w:style>
  <w:style w:type="paragraph" w:styleId="Ttulo3">
    <w:name w:val="heading 3"/>
    <w:basedOn w:val="Normal"/>
    <w:next w:val="Normal"/>
    <w:link w:val="Ttulo3Car"/>
    <w:qFormat/>
    <w:rsid w:val="00D9129A"/>
    <w:pPr>
      <w:keepNext/>
      <w:tabs>
        <w:tab w:val="right" w:pos="8931"/>
      </w:tabs>
      <w:jc w:val="both"/>
      <w:outlineLvl w:val="2"/>
    </w:pPr>
    <w:rPr>
      <w:b/>
      <w:szCs w:val="20"/>
      <w:lang w:val="es-ES_tradnl"/>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basedOn w:val="Fuentedeprrafopredeter"/>
    <w:link w:val="Ttulo3"/>
    <w:rsid w:val="00D9129A"/>
    <w:rPr>
      <w:rFonts w:ascii="Arial Narrow" w:eastAsia="Times New Roman" w:hAnsi="Arial Narrow" w:cs="Times New Roman"/>
      <w:b/>
      <w:szCs w:val="20"/>
      <w:lang w:val="es-ES_tradnl" w:eastAsia="es-ES"/>
    </w:rPr>
  </w:style>
  <w:style w:type="paragraph" w:customStyle="1" w:styleId="Ttulo1">
    <w:name w:val="Título1"/>
    <w:basedOn w:val="Normal"/>
    <w:qFormat/>
    <w:rsid w:val="00D9129A"/>
    <w:pPr>
      <w:jc w:val="center"/>
    </w:pPr>
    <w:rPr>
      <w:b/>
      <w:bCs/>
    </w:rPr>
  </w:style>
  <w:style w:type="paragraph" w:styleId="Textoindependiente">
    <w:name w:val="Body Text"/>
    <w:basedOn w:val="Normal"/>
    <w:link w:val="TextoindependienteCar"/>
    <w:rsid w:val="00D9129A"/>
    <w:pPr>
      <w:jc w:val="both"/>
    </w:pPr>
    <w:rPr>
      <w:b/>
      <w:bCs/>
    </w:rPr>
  </w:style>
  <w:style w:type="character" w:customStyle="1" w:styleId="TextoindependienteCar">
    <w:name w:val="Texto independiente Car"/>
    <w:basedOn w:val="Fuentedeprrafopredeter"/>
    <w:link w:val="Textoindependiente"/>
    <w:rsid w:val="00D9129A"/>
    <w:rPr>
      <w:rFonts w:ascii="Arial Narrow" w:eastAsia="Times New Roman" w:hAnsi="Arial Narrow" w:cs="Times New Roman"/>
      <w:b/>
      <w:bCs/>
      <w:szCs w:val="24"/>
      <w:lang w:val="es-ES" w:eastAsia="es-ES"/>
    </w:rPr>
  </w:style>
  <w:style w:type="paragraph" w:styleId="Textoindependiente3">
    <w:name w:val="Body Text 3"/>
    <w:basedOn w:val="Normal"/>
    <w:link w:val="Textoindependiente3Car"/>
    <w:rsid w:val="00D9129A"/>
    <w:pPr>
      <w:jc w:val="both"/>
    </w:pPr>
    <w:rPr>
      <w:lang w:val="es-MX"/>
    </w:rPr>
  </w:style>
  <w:style w:type="character" w:customStyle="1" w:styleId="Textoindependiente3Car">
    <w:name w:val="Texto independiente 3 Car"/>
    <w:basedOn w:val="Fuentedeprrafopredeter"/>
    <w:link w:val="Textoindependiente3"/>
    <w:rsid w:val="00D9129A"/>
    <w:rPr>
      <w:rFonts w:ascii="Arial Narrow" w:eastAsia="Times New Roman" w:hAnsi="Arial Narrow" w:cs="Times New Roman"/>
      <w:szCs w:val="24"/>
      <w:lang w:val="es-MX" w:eastAsia="es-ES"/>
    </w:rPr>
  </w:style>
  <w:style w:type="paragraph" w:styleId="Textodeglobo">
    <w:name w:val="Balloon Text"/>
    <w:basedOn w:val="Normal"/>
    <w:link w:val="TextodegloboCar"/>
    <w:uiPriority w:val="99"/>
    <w:semiHidden/>
    <w:unhideWhenUsed/>
    <w:rsid w:val="00D9129A"/>
    <w:rPr>
      <w:rFonts w:ascii="Tahoma" w:hAnsi="Tahoma" w:cs="Tahoma"/>
      <w:sz w:val="16"/>
      <w:szCs w:val="16"/>
    </w:rPr>
  </w:style>
  <w:style w:type="character" w:customStyle="1" w:styleId="TextodegloboCar">
    <w:name w:val="Texto de globo Car"/>
    <w:basedOn w:val="Fuentedeprrafopredeter"/>
    <w:link w:val="Textodeglobo"/>
    <w:uiPriority w:val="99"/>
    <w:semiHidden/>
    <w:rsid w:val="00D9129A"/>
    <w:rPr>
      <w:rFonts w:ascii="Tahoma" w:eastAsia="Times New Roman" w:hAnsi="Tahoma" w:cs="Tahoma"/>
      <w:sz w:val="16"/>
      <w:szCs w:val="16"/>
      <w:lang w:val="es-ES" w:eastAsia="es-ES"/>
    </w:rPr>
  </w:style>
  <w:style w:type="character" w:styleId="Refdecomentario">
    <w:name w:val="annotation reference"/>
    <w:basedOn w:val="Fuentedeprrafopredeter"/>
    <w:uiPriority w:val="99"/>
    <w:semiHidden/>
    <w:unhideWhenUsed/>
    <w:rsid w:val="00A615BC"/>
    <w:rPr>
      <w:sz w:val="16"/>
      <w:szCs w:val="16"/>
    </w:rPr>
  </w:style>
  <w:style w:type="paragraph" w:styleId="Textocomentario">
    <w:name w:val="annotation text"/>
    <w:basedOn w:val="Normal"/>
    <w:link w:val="TextocomentarioCar"/>
    <w:uiPriority w:val="99"/>
    <w:semiHidden/>
    <w:unhideWhenUsed/>
    <w:rsid w:val="00A615BC"/>
    <w:rPr>
      <w:sz w:val="20"/>
      <w:szCs w:val="20"/>
    </w:rPr>
  </w:style>
  <w:style w:type="character" w:customStyle="1" w:styleId="TextocomentarioCar">
    <w:name w:val="Texto comentario Car"/>
    <w:basedOn w:val="Fuentedeprrafopredeter"/>
    <w:link w:val="Textocomentario"/>
    <w:uiPriority w:val="99"/>
    <w:semiHidden/>
    <w:rsid w:val="00A615BC"/>
    <w:rPr>
      <w:rFonts w:ascii="Arial Narrow" w:eastAsia="Times New Roman" w:hAnsi="Arial Narrow"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A615BC"/>
    <w:rPr>
      <w:b/>
      <w:bCs/>
    </w:rPr>
  </w:style>
  <w:style w:type="character" w:customStyle="1" w:styleId="AsuntodelcomentarioCar">
    <w:name w:val="Asunto del comentario Car"/>
    <w:basedOn w:val="TextocomentarioCar"/>
    <w:link w:val="Asuntodelcomentario"/>
    <w:uiPriority w:val="99"/>
    <w:semiHidden/>
    <w:rsid w:val="00A615BC"/>
    <w:rPr>
      <w:rFonts w:ascii="Arial Narrow" w:eastAsia="Times New Roman" w:hAnsi="Arial Narrow" w:cs="Times New Roman"/>
      <w:b/>
      <w:bCs/>
      <w:sz w:val="20"/>
      <w:szCs w:val="20"/>
      <w:lang w:val="es-ES" w:eastAsia="es-ES"/>
    </w:rPr>
  </w:style>
  <w:style w:type="paragraph" w:styleId="Encabezado">
    <w:name w:val="header"/>
    <w:basedOn w:val="Normal"/>
    <w:link w:val="EncabezadoCar"/>
    <w:uiPriority w:val="99"/>
    <w:unhideWhenUsed/>
    <w:rsid w:val="006F09A6"/>
    <w:pPr>
      <w:tabs>
        <w:tab w:val="center" w:pos="4419"/>
        <w:tab w:val="right" w:pos="8838"/>
      </w:tabs>
    </w:pPr>
  </w:style>
  <w:style w:type="character" w:customStyle="1" w:styleId="EncabezadoCar">
    <w:name w:val="Encabezado Car"/>
    <w:basedOn w:val="Fuentedeprrafopredeter"/>
    <w:link w:val="Encabezado"/>
    <w:uiPriority w:val="99"/>
    <w:rsid w:val="006F09A6"/>
    <w:rPr>
      <w:rFonts w:ascii="Arial Narrow" w:eastAsia="Times New Roman" w:hAnsi="Arial Narrow" w:cs="Times New Roman"/>
      <w:szCs w:val="24"/>
      <w:lang w:val="es-ES" w:eastAsia="es-ES"/>
    </w:rPr>
  </w:style>
  <w:style w:type="paragraph" w:styleId="Piedepgina">
    <w:name w:val="footer"/>
    <w:basedOn w:val="Normal"/>
    <w:link w:val="PiedepginaCar"/>
    <w:uiPriority w:val="99"/>
    <w:unhideWhenUsed/>
    <w:rsid w:val="006F09A6"/>
    <w:pPr>
      <w:tabs>
        <w:tab w:val="center" w:pos="4419"/>
        <w:tab w:val="right" w:pos="8838"/>
      </w:tabs>
    </w:pPr>
  </w:style>
  <w:style w:type="character" w:customStyle="1" w:styleId="PiedepginaCar">
    <w:name w:val="Pie de página Car"/>
    <w:basedOn w:val="Fuentedeprrafopredeter"/>
    <w:link w:val="Piedepgina"/>
    <w:uiPriority w:val="99"/>
    <w:rsid w:val="006F09A6"/>
    <w:rPr>
      <w:rFonts w:ascii="Arial Narrow" w:eastAsia="Times New Roman" w:hAnsi="Arial Narrow" w:cs="Times New Roman"/>
      <w:szCs w:val="24"/>
      <w:lang w:val="es-ES" w:eastAsia="es-ES"/>
    </w:rPr>
  </w:style>
  <w:style w:type="paragraph" w:styleId="Prrafodelista">
    <w:name w:val="List Paragraph"/>
    <w:basedOn w:val="Normal"/>
    <w:uiPriority w:val="34"/>
    <w:qFormat/>
    <w:rsid w:val="002B7E0D"/>
    <w:pPr>
      <w:ind w:left="720"/>
      <w:contextualSpacing/>
    </w:pPr>
  </w:style>
  <w:style w:type="paragraph" w:styleId="Revisin">
    <w:name w:val="Revision"/>
    <w:hidden/>
    <w:uiPriority w:val="99"/>
    <w:semiHidden/>
    <w:rsid w:val="004C17D5"/>
    <w:pPr>
      <w:spacing w:after="0" w:line="240" w:lineRule="auto"/>
    </w:pPr>
    <w:rPr>
      <w:rFonts w:ascii="Arial Narrow" w:eastAsia="Times New Roman" w:hAnsi="Arial Narrow" w:cs="Times New Roman"/>
      <w:szCs w:val="24"/>
      <w:lang w:val="es-ES" w:eastAsia="es-ES"/>
    </w:rPr>
  </w:style>
  <w:style w:type="paragraph" w:styleId="Textonotapie">
    <w:name w:val="footnote text"/>
    <w:basedOn w:val="Normal"/>
    <w:link w:val="TextonotapieCar"/>
    <w:uiPriority w:val="99"/>
    <w:semiHidden/>
    <w:unhideWhenUsed/>
    <w:rsid w:val="00BE051C"/>
    <w:rPr>
      <w:sz w:val="20"/>
      <w:szCs w:val="20"/>
    </w:rPr>
  </w:style>
  <w:style w:type="character" w:customStyle="1" w:styleId="TextonotapieCar">
    <w:name w:val="Texto nota pie Car"/>
    <w:basedOn w:val="Fuentedeprrafopredeter"/>
    <w:link w:val="Textonotapie"/>
    <w:uiPriority w:val="99"/>
    <w:semiHidden/>
    <w:rsid w:val="00BE051C"/>
    <w:rPr>
      <w:rFonts w:ascii="Arial Narrow" w:eastAsia="Times New Roman" w:hAnsi="Arial Narrow" w:cs="Times New Roman"/>
      <w:sz w:val="20"/>
      <w:szCs w:val="20"/>
      <w:lang w:val="es-ES" w:eastAsia="es-ES"/>
    </w:rPr>
  </w:style>
  <w:style w:type="character" w:styleId="Refdenotaalpie">
    <w:name w:val="footnote reference"/>
    <w:basedOn w:val="Fuentedeprrafopredeter"/>
    <w:uiPriority w:val="99"/>
    <w:semiHidden/>
    <w:unhideWhenUsed/>
    <w:rsid w:val="00BE051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630967">
      <w:bodyDiv w:val="1"/>
      <w:marLeft w:val="0"/>
      <w:marRight w:val="0"/>
      <w:marTop w:val="0"/>
      <w:marBottom w:val="0"/>
      <w:divBdr>
        <w:top w:val="none" w:sz="0" w:space="0" w:color="auto"/>
        <w:left w:val="none" w:sz="0" w:space="0" w:color="auto"/>
        <w:bottom w:val="none" w:sz="0" w:space="0" w:color="auto"/>
        <w:right w:val="none" w:sz="0" w:space="0" w:color="auto"/>
      </w:divBdr>
    </w:div>
    <w:div w:id="45838001">
      <w:bodyDiv w:val="1"/>
      <w:marLeft w:val="0"/>
      <w:marRight w:val="0"/>
      <w:marTop w:val="0"/>
      <w:marBottom w:val="0"/>
      <w:divBdr>
        <w:top w:val="none" w:sz="0" w:space="0" w:color="auto"/>
        <w:left w:val="none" w:sz="0" w:space="0" w:color="auto"/>
        <w:bottom w:val="none" w:sz="0" w:space="0" w:color="auto"/>
        <w:right w:val="none" w:sz="0" w:space="0" w:color="auto"/>
      </w:divBdr>
    </w:div>
    <w:div w:id="62946890">
      <w:bodyDiv w:val="1"/>
      <w:marLeft w:val="0"/>
      <w:marRight w:val="0"/>
      <w:marTop w:val="0"/>
      <w:marBottom w:val="0"/>
      <w:divBdr>
        <w:top w:val="none" w:sz="0" w:space="0" w:color="auto"/>
        <w:left w:val="none" w:sz="0" w:space="0" w:color="auto"/>
        <w:bottom w:val="none" w:sz="0" w:space="0" w:color="auto"/>
        <w:right w:val="none" w:sz="0" w:space="0" w:color="auto"/>
      </w:divBdr>
    </w:div>
    <w:div w:id="127087536">
      <w:bodyDiv w:val="1"/>
      <w:marLeft w:val="0"/>
      <w:marRight w:val="0"/>
      <w:marTop w:val="0"/>
      <w:marBottom w:val="0"/>
      <w:divBdr>
        <w:top w:val="none" w:sz="0" w:space="0" w:color="auto"/>
        <w:left w:val="none" w:sz="0" w:space="0" w:color="auto"/>
        <w:bottom w:val="none" w:sz="0" w:space="0" w:color="auto"/>
        <w:right w:val="none" w:sz="0" w:space="0" w:color="auto"/>
      </w:divBdr>
    </w:div>
    <w:div w:id="157237453">
      <w:bodyDiv w:val="1"/>
      <w:marLeft w:val="0"/>
      <w:marRight w:val="0"/>
      <w:marTop w:val="0"/>
      <w:marBottom w:val="0"/>
      <w:divBdr>
        <w:top w:val="none" w:sz="0" w:space="0" w:color="auto"/>
        <w:left w:val="none" w:sz="0" w:space="0" w:color="auto"/>
        <w:bottom w:val="none" w:sz="0" w:space="0" w:color="auto"/>
        <w:right w:val="none" w:sz="0" w:space="0" w:color="auto"/>
      </w:divBdr>
    </w:div>
    <w:div w:id="158883891">
      <w:bodyDiv w:val="1"/>
      <w:marLeft w:val="0"/>
      <w:marRight w:val="0"/>
      <w:marTop w:val="0"/>
      <w:marBottom w:val="0"/>
      <w:divBdr>
        <w:top w:val="none" w:sz="0" w:space="0" w:color="auto"/>
        <w:left w:val="none" w:sz="0" w:space="0" w:color="auto"/>
        <w:bottom w:val="none" w:sz="0" w:space="0" w:color="auto"/>
        <w:right w:val="none" w:sz="0" w:space="0" w:color="auto"/>
      </w:divBdr>
    </w:div>
    <w:div w:id="372316530">
      <w:bodyDiv w:val="1"/>
      <w:marLeft w:val="0"/>
      <w:marRight w:val="0"/>
      <w:marTop w:val="0"/>
      <w:marBottom w:val="0"/>
      <w:divBdr>
        <w:top w:val="none" w:sz="0" w:space="0" w:color="auto"/>
        <w:left w:val="none" w:sz="0" w:space="0" w:color="auto"/>
        <w:bottom w:val="none" w:sz="0" w:space="0" w:color="auto"/>
        <w:right w:val="none" w:sz="0" w:space="0" w:color="auto"/>
      </w:divBdr>
    </w:div>
    <w:div w:id="430664531">
      <w:bodyDiv w:val="1"/>
      <w:marLeft w:val="0"/>
      <w:marRight w:val="0"/>
      <w:marTop w:val="0"/>
      <w:marBottom w:val="0"/>
      <w:divBdr>
        <w:top w:val="none" w:sz="0" w:space="0" w:color="auto"/>
        <w:left w:val="none" w:sz="0" w:space="0" w:color="auto"/>
        <w:bottom w:val="none" w:sz="0" w:space="0" w:color="auto"/>
        <w:right w:val="none" w:sz="0" w:space="0" w:color="auto"/>
      </w:divBdr>
    </w:div>
    <w:div w:id="433016605">
      <w:bodyDiv w:val="1"/>
      <w:marLeft w:val="0"/>
      <w:marRight w:val="0"/>
      <w:marTop w:val="0"/>
      <w:marBottom w:val="0"/>
      <w:divBdr>
        <w:top w:val="none" w:sz="0" w:space="0" w:color="auto"/>
        <w:left w:val="none" w:sz="0" w:space="0" w:color="auto"/>
        <w:bottom w:val="none" w:sz="0" w:space="0" w:color="auto"/>
        <w:right w:val="none" w:sz="0" w:space="0" w:color="auto"/>
      </w:divBdr>
    </w:div>
    <w:div w:id="445541680">
      <w:bodyDiv w:val="1"/>
      <w:marLeft w:val="0"/>
      <w:marRight w:val="0"/>
      <w:marTop w:val="0"/>
      <w:marBottom w:val="0"/>
      <w:divBdr>
        <w:top w:val="none" w:sz="0" w:space="0" w:color="auto"/>
        <w:left w:val="none" w:sz="0" w:space="0" w:color="auto"/>
        <w:bottom w:val="none" w:sz="0" w:space="0" w:color="auto"/>
        <w:right w:val="none" w:sz="0" w:space="0" w:color="auto"/>
      </w:divBdr>
    </w:div>
    <w:div w:id="498690047">
      <w:bodyDiv w:val="1"/>
      <w:marLeft w:val="0"/>
      <w:marRight w:val="0"/>
      <w:marTop w:val="0"/>
      <w:marBottom w:val="0"/>
      <w:divBdr>
        <w:top w:val="none" w:sz="0" w:space="0" w:color="auto"/>
        <w:left w:val="none" w:sz="0" w:space="0" w:color="auto"/>
        <w:bottom w:val="none" w:sz="0" w:space="0" w:color="auto"/>
        <w:right w:val="none" w:sz="0" w:space="0" w:color="auto"/>
      </w:divBdr>
    </w:div>
    <w:div w:id="536771549">
      <w:bodyDiv w:val="1"/>
      <w:marLeft w:val="0"/>
      <w:marRight w:val="0"/>
      <w:marTop w:val="0"/>
      <w:marBottom w:val="0"/>
      <w:divBdr>
        <w:top w:val="none" w:sz="0" w:space="0" w:color="auto"/>
        <w:left w:val="none" w:sz="0" w:space="0" w:color="auto"/>
        <w:bottom w:val="none" w:sz="0" w:space="0" w:color="auto"/>
        <w:right w:val="none" w:sz="0" w:space="0" w:color="auto"/>
      </w:divBdr>
    </w:div>
    <w:div w:id="569774308">
      <w:bodyDiv w:val="1"/>
      <w:marLeft w:val="0"/>
      <w:marRight w:val="0"/>
      <w:marTop w:val="0"/>
      <w:marBottom w:val="0"/>
      <w:divBdr>
        <w:top w:val="none" w:sz="0" w:space="0" w:color="auto"/>
        <w:left w:val="none" w:sz="0" w:space="0" w:color="auto"/>
        <w:bottom w:val="none" w:sz="0" w:space="0" w:color="auto"/>
        <w:right w:val="none" w:sz="0" w:space="0" w:color="auto"/>
      </w:divBdr>
    </w:div>
    <w:div w:id="574440565">
      <w:bodyDiv w:val="1"/>
      <w:marLeft w:val="0"/>
      <w:marRight w:val="0"/>
      <w:marTop w:val="0"/>
      <w:marBottom w:val="0"/>
      <w:divBdr>
        <w:top w:val="none" w:sz="0" w:space="0" w:color="auto"/>
        <w:left w:val="none" w:sz="0" w:space="0" w:color="auto"/>
        <w:bottom w:val="none" w:sz="0" w:space="0" w:color="auto"/>
        <w:right w:val="none" w:sz="0" w:space="0" w:color="auto"/>
      </w:divBdr>
    </w:div>
    <w:div w:id="579800158">
      <w:bodyDiv w:val="1"/>
      <w:marLeft w:val="0"/>
      <w:marRight w:val="0"/>
      <w:marTop w:val="0"/>
      <w:marBottom w:val="0"/>
      <w:divBdr>
        <w:top w:val="none" w:sz="0" w:space="0" w:color="auto"/>
        <w:left w:val="none" w:sz="0" w:space="0" w:color="auto"/>
        <w:bottom w:val="none" w:sz="0" w:space="0" w:color="auto"/>
        <w:right w:val="none" w:sz="0" w:space="0" w:color="auto"/>
      </w:divBdr>
    </w:div>
    <w:div w:id="615528445">
      <w:bodyDiv w:val="1"/>
      <w:marLeft w:val="0"/>
      <w:marRight w:val="0"/>
      <w:marTop w:val="0"/>
      <w:marBottom w:val="0"/>
      <w:divBdr>
        <w:top w:val="none" w:sz="0" w:space="0" w:color="auto"/>
        <w:left w:val="none" w:sz="0" w:space="0" w:color="auto"/>
        <w:bottom w:val="none" w:sz="0" w:space="0" w:color="auto"/>
        <w:right w:val="none" w:sz="0" w:space="0" w:color="auto"/>
      </w:divBdr>
    </w:div>
    <w:div w:id="671763653">
      <w:bodyDiv w:val="1"/>
      <w:marLeft w:val="0"/>
      <w:marRight w:val="0"/>
      <w:marTop w:val="0"/>
      <w:marBottom w:val="0"/>
      <w:divBdr>
        <w:top w:val="none" w:sz="0" w:space="0" w:color="auto"/>
        <w:left w:val="none" w:sz="0" w:space="0" w:color="auto"/>
        <w:bottom w:val="none" w:sz="0" w:space="0" w:color="auto"/>
        <w:right w:val="none" w:sz="0" w:space="0" w:color="auto"/>
      </w:divBdr>
    </w:div>
    <w:div w:id="689375903">
      <w:bodyDiv w:val="1"/>
      <w:marLeft w:val="0"/>
      <w:marRight w:val="0"/>
      <w:marTop w:val="0"/>
      <w:marBottom w:val="0"/>
      <w:divBdr>
        <w:top w:val="none" w:sz="0" w:space="0" w:color="auto"/>
        <w:left w:val="none" w:sz="0" w:space="0" w:color="auto"/>
        <w:bottom w:val="none" w:sz="0" w:space="0" w:color="auto"/>
        <w:right w:val="none" w:sz="0" w:space="0" w:color="auto"/>
      </w:divBdr>
    </w:div>
    <w:div w:id="748235173">
      <w:bodyDiv w:val="1"/>
      <w:marLeft w:val="0"/>
      <w:marRight w:val="0"/>
      <w:marTop w:val="0"/>
      <w:marBottom w:val="0"/>
      <w:divBdr>
        <w:top w:val="none" w:sz="0" w:space="0" w:color="auto"/>
        <w:left w:val="none" w:sz="0" w:space="0" w:color="auto"/>
        <w:bottom w:val="none" w:sz="0" w:space="0" w:color="auto"/>
        <w:right w:val="none" w:sz="0" w:space="0" w:color="auto"/>
      </w:divBdr>
    </w:div>
    <w:div w:id="760611486">
      <w:bodyDiv w:val="1"/>
      <w:marLeft w:val="0"/>
      <w:marRight w:val="0"/>
      <w:marTop w:val="0"/>
      <w:marBottom w:val="0"/>
      <w:divBdr>
        <w:top w:val="none" w:sz="0" w:space="0" w:color="auto"/>
        <w:left w:val="none" w:sz="0" w:space="0" w:color="auto"/>
        <w:bottom w:val="none" w:sz="0" w:space="0" w:color="auto"/>
        <w:right w:val="none" w:sz="0" w:space="0" w:color="auto"/>
      </w:divBdr>
    </w:div>
    <w:div w:id="782843535">
      <w:bodyDiv w:val="1"/>
      <w:marLeft w:val="0"/>
      <w:marRight w:val="0"/>
      <w:marTop w:val="0"/>
      <w:marBottom w:val="0"/>
      <w:divBdr>
        <w:top w:val="none" w:sz="0" w:space="0" w:color="auto"/>
        <w:left w:val="none" w:sz="0" w:space="0" w:color="auto"/>
        <w:bottom w:val="none" w:sz="0" w:space="0" w:color="auto"/>
        <w:right w:val="none" w:sz="0" w:space="0" w:color="auto"/>
      </w:divBdr>
    </w:div>
    <w:div w:id="803349543">
      <w:bodyDiv w:val="1"/>
      <w:marLeft w:val="0"/>
      <w:marRight w:val="0"/>
      <w:marTop w:val="0"/>
      <w:marBottom w:val="0"/>
      <w:divBdr>
        <w:top w:val="none" w:sz="0" w:space="0" w:color="auto"/>
        <w:left w:val="none" w:sz="0" w:space="0" w:color="auto"/>
        <w:bottom w:val="none" w:sz="0" w:space="0" w:color="auto"/>
        <w:right w:val="none" w:sz="0" w:space="0" w:color="auto"/>
      </w:divBdr>
    </w:div>
    <w:div w:id="818768144">
      <w:bodyDiv w:val="1"/>
      <w:marLeft w:val="0"/>
      <w:marRight w:val="0"/>
      <w:marTop w:val="0"/>
      <w:marBottom w:val="0"/>
      <w:divBdr>
        <w:top w:val="none" w:sz="0" w:space="0" w:color="auto"/>
        <w:left w:val="none" w:sz="0" w:space="0" w:color="auto"/>
        <w:bottom w:val="none" w:sz="0" w:space="0" w:color="auto"/>
        <w:right w:val="none" w:sz="0" w:space="0" w:color="auto"/>
      </w:divBdr>
    </w:div>
    <w:div w:id="874583710">
      <w:bodyDiv w:val="1"/>
      <w:marLeft w:val="0"/>
      <w:marRight w:val="0"/>
      <w:marTop w:val="0"/>
      <w:marBottom w:val="0"/>
      <w:divBdr>
        <w:top w:val="none" w:sz="0" w:space="0" w:color="auto"/>
        <w:left w:val="none" w:sz="0" w:space="0" w:color="auto"/>
        <w:bottom w:val="none" w:sz="0" w:space="0" w:color="auto"/>
        <w:right w:val="none" w:sz="0" w:space="0" w:color="auto"/>
      </w:divBdr>
    </w:div>
    <w:div w:id="905072616">
      <w:bodyDiv w:val="1"/>
      <w:marLeft w:val="0"/>
      <w:marRight w:val="0"/>
      <w:marTop w:val="0"/>
      <w:marBottom w:val="0"/>
      <w:divBdr>
        <w:top w:val="none" w:sz="0" w:space="0" w:color="auto"/>
        <w:left w:val="none" w:sz="0" w:space="0" w:color="auto"/>
        <w:bottom w:val="none" w:sz="0" w:space="0" w:color="auto"/>
        <w:right w:val="none" w:sz="0" w:space="0" w:color="auto"/>
      </w:divBdr>
    </w:div>
    <w:div w:id="972759137">
      <w:bodyDiv w:val="1"/>
      <w:marLeft w:val="0"/>
      <w:marRight w:val="0"/>
      <w:marTop w:val="0"/>
      <w:marBottom w:val="0"/>
      <w:divBdr>
        <w:top w:val="none" w:sz="0" w:space="0" w:color="auto"/>
        <w:left w:val="none" w:sz="0" w:space="0" w:color="auto"/>
        <w:bottom w:val="none" w:sz="0" w:space="0" w:color="auto"/>
        <w:right w:val="none" w:sz="0" w:space="0" w:color="auto"/>
      </w:divBdr>
    </w:div>
    <w:div w:id="1013150347">
      <w:bodyDiv w:val="1"/>
      <w:marLeft w:val="0"/>
      <w:marRight w:val="0"/>
      <w:marTop w:val="0"/>
      <w:marBottom w:val="0"/>
      <w:divBdr>
        <w:top w:val="none" w:sz="0" w:space="0" w:color="auto"/>
        <w:left w:val="none" w:sz="0" w:space="0" w:color="auto"/>
        <w:bottom w:val="none" w:sz="0" w:space="0" w:color="auto"/>
        <w:right w:val="none" w:sz="0" w:space="0" w:color="auto"/>
      </w:divBdr>
    </w:div>
    <w:div w:id="1123504312">
      <w:bodyDiv w:val="1"/>
      <w:marLeft w:val="0"/>
      <w:marRight w:val="0"/>
      <w:marTop w:val="0"/>
      <w:marBottom w:val="0"/>
      <w:divBdr>
        <w:top w:val="none" w:sz="0" w:space="0" w:color="auto"/>
        <w:left w:val="none" w:sz="0" w:space="0" w:color="auto"/>
        <w:bottom w:val="none" w:sz="0" w:space="0" w:color="auto"/>
        <w:right w:val="none" w:sz="0" w:space="0" w:color="auto"/>
      </w:divBdr>
    </w:div>
    <w:div w:id="1124231444">
      <w:bodyDiv w:val="1"/>
      <w:marLeft w:val="0"/>
      <w:marRight w:val="0"/>
      <w:marTop w:val="0"/>
      <w:marBottom w:val="0"/>
      <w:divBdr>
        <w:top w:val="none" w:sz="0" w:space="0" w:color="auto"/>
        <w:left w:val="none" w:sz="0" w:space="0" w:color="auto"/>
        <w:bottom w:val="none" w:sz="0" w:space="0" w:color="auto"/>
        <w:right w:val="none" w:sz="0" w:space="0" w:color="auto"/>
      </w:divBdr>
    </w:div>
    <w:div w:id="1166479243">
      <w:bodyDiv w:val="1"/>
      <w:marLeft w:val="0"/>
      <w:marRight w:val="0"/>
      <w:marTop w:val="0"/>
      <w:marBottom w:val="0"/>
      <w:divBdr>
        <w:top w:val="none" w:sz="0" w:space="0" w:color="auto"/>
        <w:left w:val="none" w:sz="0" w:space="0" w:color="auto"/>
        <w:bottom w:val="none" w:sz="0" w:space="0" w:color="auto"/>
        <w:right w:val="none" w:sz="0" w:space="0" w:color="auto"/>
      </w:divBdr>
    </w:div>
    <w:div w:id="1226141640">
      <w:bodyDiv w:val="1"/>
      <w:marLeft w:val="0"/>
      <w:marRight w:val="0"/>
      <w:marTop w:val="0"/>
      <w:marBottom w:val="0"/>
      <w:divBdr>
        <w:top w:val="none" w:sz="0" w:space="0" w:color="auto"/>
        <w:left w:val="none" w:sz="0" w:space="0" w:color="auto"/>
        <w:bottom w:val="none" w:sz="0" w:space="0" w:color="auto"/>
        <w:right w:val="none" w:sz="0" w:space="0" w:color="auto"/>
      </w:divBdr>
    </w:div>
    <w:div w:id="1246257282">
      <w:bodyDiv w:val="1"/>
      <w:marLeft w:val="0"/>
      <w:marRight w:val="0"/>
      <w:marTop w:val="0"/>
      <w:marBottom w:val="0"/>
      <w:divBdr>
        <w:top w:val="none" w:sz="0" w:space="0" w:color="auto"/>
        <w:left w:val="none" w:sz="0" w:space="0" w:color="auto"/>
        <w:bottom w:val="none" w:sz="0" w:space="0" w:color="auto"/>
        <w:right w:val="none" w:sz="0" w:space="0" w:color="auto"/>
      </w:divBdr>
    </w:div>
    <w:div w:id="1281914701">
      <w:bodyDiv w:val="1"/>
      <w:marLeft w:val="0"/>
      <w:marRight w:val="0"/>
      <w:marTop w:val="0"/>
      <w:marBottom w:val="0"/>
      <w:divBdr>
        <w:top w:val="none" w:sz="0" w:space="0" w:color="auto"/>
        <w:left w:val="none" w:sz="0" w:space="0" w:color="auto"/>
        <w:bottom w:val="none" w:sz="0" w:space="0" w:color="auto"/>
        <w:right w:val="none" w:sz="0" w:space="0" w:color="auto"/>
      </w:divBdr>
    </w:div>
    <w:div w:id="1319727552">
      <w:bodyDiv w:val="1"/>
      <w:marLeft w:val="0"/>
      <w:marRight w:val="0"/>
      <w:marTop w:val="0"/>
      <w:marBottom w:val="0"/>
      <w:divBdr>
        <w:top w:val="none" w:sz="0" w:space="0" w:color="auto"/>
        <w:left w:val="none" w:sz="0" w:space="0" w:color="auto"/>
        <w:bottom w:val="none" w:sz="0" w:space="0" w:color="auto"/>
        <w:right w:val="none" w:sz="0" w:space="0" w:color="auto"/>
      </w:divBdr>
    </w:div>
    <w:div w:id="1369257864">
      <w:bodyDiv w:val="1"/>
      <w:marLeft w:val="0"/>
      <w:marRight w:val="0"/>
      <w:marTop w:val="0"/>
      <w:marBottom w:val="0"/>
      <w:divBdr>
        <w:top w:val="none" w:sz="0" w:space="0" w:color="auto"/>
        <w:left w:val="none" w:sz="0" w:space="0" w:color="auto"/>
        <w:bottom w:val="none" w:sz="0" w:space="0" w:color="auto"/>
        <w:right w:val="none" w:sz="0" w:space="0" w:color="auto"/>
      </w:divBdr>
    </w:div>
    <w:div w:id="1395859163">
      <w:bodyDiv w:val="1"/>
      <w:marLeft w:val="0"/>
      <w:marRight w:val="0"/>
      <w:marTop w:val="0"/>
      <w:marBottom w:val="0"/>
      <w:divBdr>
        <w:top w:val="none" w:sz="0" w:space="0" w:color="auto"/>
        <w:left w:val="none" w:sz="0" w:space="0" w:color="auto"/>
        <w:bottom w:val="none" w:sz="0" w:space="0" w:color="auto"/>
        <w:right w:val="none" w:sz="0" w:space="0" w:color="auto"/>
      </w:divBdr>
    </w:div>
    <w:div w:id="1426073276">
      <w:bodyDiv w:val="1"/>
      <w:marLeft w:val="0"/>
      <w:marRight w:val="0"/>
      <w:marTop w:val="0"/>
      <w:marBottom w:val="0"/>
      <w:divBdr>
        <w:top w:val="none" w:sz="0" w:space="0" w:color="auto"/>
        <w:left w:val="none" w:sz="0" w:space="0" w:color="auto"/>
        <w:bottom w:val="none" w:sz="0" w:space="0" w:color="auto"/>
        <w:right w:val="none" w:sz="0" w:space="0" w:color="auto"/>
      </w:divBdr>
    </w:div>
    <w:div w:id="1473673001">
      <w:bodyDiv w:val="1"/>
      <w:marLeft w:val="0"/>
      <w:marRight w:val="0"/>
      <w:marTop w:val="0"/>
      <w:marBottom w:val="0"/>
      <w:divBdr>
        <w:top w:val="none" w:sz="0" w:space="0" w:color="auto"/>
        <w:left w:val="none" w:sz="0" w:space="0" w:color="auto"/>
        <w:bottom w:val="none" w:sz="0" w:space="0" w:color="auto"/>
        <w:right w:val="none" w:sz="0" w:space="0" w:color="auto"/>
      </w:divBdr>
    </w:div>
    <w:div w:id="1491363345">
      <w:bodyDiv w:val="1"/>
      <w:marLeft w:val="0"/>
      <w:marRight w:val="0"/>
      <w:marTop w:val="0"/>
      <w:marBottom w:val="0"/>
      <w:divBdr>
        <w:top w:val="none" w:sz="0" w:space="0" w:color="auto"/>
        <w:left w:val="none" w:sz="0" w:space="0" w:color="auto"/>
        <w:bottom w:val="none" w:sz="0" w:space="0" w:color="auto"/>
        <w:right w:val="none" w:sz="0" w:space="0" w:color="auto"/>
      </w:divBdr>
    </w:div>
    <w:div w:id="1497841039">
      <w:bodyDiv w:val="1"/>
      <w:marLeft w:val="0"/>
      <w:marRight w:val="0"/>
      <w:marTop w:val="0"/>
      <w:marBottom w:val="0"/>
      <w:divBdr>
        <w:top w:val="none" w:sz="0" w:space="0" w:color="auto"/>
        <w:left w:val="none" w:sz="0" w:space="0" w:color="auto"/>
        <w:bottom w:val="none" w:sz="0" w:space="0" w:color="auto"/>
        <w:right w:val="none" w:sz="0" w:space="0" w:color="auto"/>
      </w:divBdr>
    </w:div>
    <w:div w:id="1529102590">
      <w:bodyDiv w:val="1"/>
      <w:marLeft w:val="0"/>
      <w:marRight w:val="0"/>
      <w:marTop w:val="0"/>
      <w:marBottom w:val="0"/>
      <w:divBdr>
        <w:top w:val="none" w:sz="0" w:space="0" w:color="auto"/>
        <w:left w:val="none" w:sz="0" w:space="0" w:color="auto"/>
        <w:bottom w:val="none" w:sz="0" w:space="0" w:color="auto"/>
        <w:right w:val="none" w:sz="0" w:space="0" w:color="auto"/>
      </w:divBdr>
    </w:div>
    <w:div w:id="1592471782">
      <w:bodyDiv w:val="1"/>
      <w:marLeft w:val="0"/>
      <w:marRight w:val="0"/>
      <w:marTop w:val="0"/>
      <w:marBottom w:val="0"/>
      <w:divBdr>
        <w:top w:val="none" w:sz="0" w:space="0" w:color="auto"/>
        <w:left w:val="none" w:sz="0" w:space="0" w:color="auto"/>
        <w:bottom w:val="none" w:sz="0" w:space="0" w:color="auto"/>
        <w:right w:val="none" w:sz="0" w:space="0" w:color="auto"/>
      </w:divBdr>
    </w:div>
    <w:div w:id="1615136445">
      <w:bodyDiv w:val="1"/>
      <w:marLeft w:val="0"/>
      <w:marRight w:val="0"/>
      <w:marTop w:val="0"/>
      <w:marBottom w:val="0"/>
      <w:divBdr>
        <w:top w:val="none" w:sz="0" w:space="0" w:color="auto"/>
        <w:left w:val="none" w:sz="0" w:space="0" w:color="auto"/>
        <w:bottom w:val="none" w:sz="0" w:space="0" w:color="auto"/>
        <w:right w:val="none" w:sz="0" w:space="0" w:color="auto"/>
      </w:divBdr>
    </w:div>
    <w:div w:id="1631861946">
      <w:bodyDiv w:val="1"/>
      <w:marLeft w:val="0"/>
      <w:marRight w:val="0"/>
      <w:marTop w:val="0"/>
      <w:marBottom w:val="0"/>
      <w:divBdr>
        <w:top w:val="none" w:sz="0" w:space="0" w:color="auto"/>
        <w:left w:val="none" w:sz="0" w:space="0" w:color="auto"/>
        <w:bottom w:val="none" w:sz="0" w:space="0" w:color="auto"/>
        <w:right w:val="none" w:sz="0" w:space="0" w:color="auto"/>
      </w:divBdr>
    </w:div>
    <w:div w:id="1649552421">
      <w:bodyDiv w:val="1"/>
      <w:marLeft w:val="0"/>
      <w:marRight w:val="0"/>
      <w:marTop w:val="0"/>
      <w:marBottom w:val="0"/>
      <w:divBdr>
        <w:top w:val="none" w:sz="0" w:space="0" w:color="auto"/>
        <w:left w:val="none" w:sz="0" w:space="0" w:color="auto"/>
        <w:bottom w:val="none" w:sz="0" w:space="0" w:color="auto"/>
        <w:right w:val="none" w:sz="0" w:space="0" w:color="auto"/>
      </w:divBdr>
    </w:div>
    <w:div w:id="1671329220">
      <w:bodyDiv w:val="1"/>
      <w:marLeft w:val="0"/>
      <w:marRight w:val="0"/>
      <w:marTop w:val="0"/>
      <w:marBottom w:val="0"/>
      <w:divBdr>
        <w:top w:val="none" w:sz="0" w:space="0" w:color="auto"/>
        <w:left w:val="none" w:sz="0" w:space="0" w:color="auto"/>
        <w:bottom w:val="none" w:sz="0" w:space="0" w:color="auto"/>
        <w:right w:val="none" w:sz="0" w:space="0" w:color="auto"/>
      </w:divBdr>
    </w:div>
    <w:div w:id="1702901617">
      <w:bodyDiv w:val="1"/>
      <w:marLeft w:val="0"/>
      <w:marRight w:val="0"/>
      <w:marTop w:val="0"/>
      <w:marBottom w:val="0"/>
      <w:divBdr>
        <w:top w:val="none" w:sz="0" w:space="0" w:color="auto"/>
        <w:left w:val="none" w:sz="0" w:space="0" w:color="auto"/>
        <w:bottom w:val="none" w:sz="0" w:space="0" w:color="auto"/>
        <w:right w:val="none" w:sz="0" w:space="0" w:color="auto"/>
      </w:divBdr>
    </w:div>
    <w:div w:id="1719478043">
      <w:bodyDiv w:val="1"/>
      <w:marLeft w:val="0"/>
      <w:marRight w:val="0"/>
      <w:marTop w:val="0"/>
      <w:marBottom w:val="0"/>
      <w:divBdr>
        <w:top w:val="none" w:sz="0" w:space="0" w:color="auto"/>
        <w:left w:val="none" w:sz="0" w:space="0" w:color="auto"/>
        <w:bottom w:val="none" w:sz="0" w:space="0" w:color="auto"/>
        <w:right w:val="none" w:sz="0" w:space="0" w:color="auto"/>
      </w:divBdr>
    </w:div>
    <w:div w:id="1767576556">
      <w:bodyDiv w:val="1"/>
      <w:marLeft w:val="0"/>
      <w:marRight w:val="0"/>
      <w:marTop w:val="0"/>
      <w:marBottom w:val="0"/>
      <w:divBdr>
        <w:top w:val="none" w:sz="0" w:space="0" w:color="auto"/>
        <w:left w:val="none" w:sz="0" w:space="0" w:color="auto"/>
        <w:bottom w:val="none" w:sz="0" w:space="0" w:color="auto"/>
        <w:right w:val="none" w:sz="0" w:space="0" w:color="auto"/>
      </w:divBdr>
    </w:div>
    <w:div w:id="1927641606">
      <w:bodyDiv w:val="1"/>
      <w:marLeft w:val="0"/>
      <w:marRight w:val="0"/>
      <w:marTop w:val="0"/>
      <w:marBottom w:val="0"/>
      <w:divBdr>
        <w:top w:val="none" w:sz="0" w:space="0" w:color="auto"/>
        <w:left w:val="none" w:sz="0" w:space="0" w:color="auto"/>
        <w:bottom w:val="none" w:sz="0" w:space="0" w:color="auto"/>
        <w:right w:val="none" w:sz="0" w:space="0" w:color="auto"/>
      </w:divBdr>
    </w:div>
    <w:div w:id="1940990007">
      <w:bodyDiv w:val="1"/>
      <w:marLeft w:val="0"/>
      <w:marRight w:val="0"/>
      <w:marTop w:val="0"/>
      <w:marBottom w:val="0"/>
      <w:divBdr>
        <w:top w:val="none" w:sz="0" w:space="0" w:color="auto"/>
        <w:left w:val="none" w:sz="0" w:space="0" w:color="auto"/>
        <w:bottom w:val="none" w:sz="0" w:space="0" w:color="auto"/>
        <w:right w:val="none" w:sz="0" w:space="0" w:color="auto"/>
      </w:divBdr>
    </w:div>
    <w:div w:id="1964117440">
      <w:bodyDiv w:val="1"/>
      <w:marLeft w:val="0"/>
      <w:marRight w:val="0"/>
      <w:marTop w:val="0"/>
      <w:marBottom w:val="0"/>
      <w:divBdr>
        <w:top w:val="none" w:sz="0" w:space="0" w:color="auto"/>
        <w:left w:val="none" w:sz="0" w:space="0" w:color="auto"/>
        <w:bottom w:val="none" w:sz="0" w:space="0" w:color="auto"/>
        <w:right w:val="none" w:sz="0" w:space="0" w:color="auto"/>
      </w:divBdr>
    </w:div>
    <w:div w:id="1966154965">
      <w:bodyDiv w:val="1"/>
      <w:marLeft w:val="0"/>
      <w:marRight w:val="0"/>
      <w:marTop w:val="0"/>
      <w:marBottom w:val="0"/>
      <w:divBdr>
        <w:top w:val="none" w:sz="0" w:space="0" w:color="auto"/>
        <w:left w:val="none" w:sz="0" w:space="0" w:color="auto"/>
        <w:bottom w:val="none" w:sz="0" w:space="0" w:color="auto"/>
        <w:right w:val="none" w:sz="0" w:space="0" w:color="auto"/>
      </w:divBdr>
    </w:div>
    <w:div w:id="1975864197">
      <w:bodyDiv w:val="1"/>
      <w:marLeft w:val="0"/>
      <w:marRight w:val="0"/>
      <w:marTop w:val="0"/>
      <w:marBottom w:val="0"/>
      <w:divBdr>
        <w:top w:val="none" w:sz="0" w:space="0" w:color="auto"/>
        <w:left w:val="none" w:sz="0" w:space="0" w:color="auto"/>
        <w:bottom w:val="none" w:sz="0" w:space="0" w:color="auto"/>
        <w:right w:val="none" w:sz="0" w:space="0" w:color="auto"/>
      </w:divBdr>
    </w:div>
    <w:div w:id="2034458883">
      <w:bodyDiv w:val="1"/>
      <w:marLeft w:val="0"/>
      <w:marRight w:val="0"/>
      <w:marTop w:val="0"/>
      <w:marBottom w:val="0"/>
      <w:divBdr>
        <w:top w:val="none" w:sz="0" w:space="0" w:color="auto"/>
        <w:left w:val="none" w:sz="0" w:space="0" w:color="auto"/>
        <w:bottom w:val="none" w:sz="0" w:space="0" w:color="auto"/>
        <w:right w:val="none" w:sz="0" w:space="0" w:color="auto"/>
      </w:divBdr>
    </w:div>
    <w:div w:id="2049336494">
      <w:bodyDiv w:val="1"/>
      <w:marLeft w:val="0"/>
      <w:marRight w:val="0"/>
      <w:marTop w:val="0"/>
      <w:marBottom w:val="0"/>
      <w:divBdr>
        <w:top w:val="none" w:sz="0" w:space="0" w:color="auto"/>
        <w:left w:val="none" w:sz="0" w:space="0" w:color="auto"/>
        <w:bottom w:val="none" w:sz="0" w:space="0" w:color="auto"/>
        <w:right w:val="none" w:sz="0" w:space="0" w:color="auto"/>
      </w:divBdr>
    </w:div>
    <w:div w:id="20771259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emf"/><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emf"/><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189513-1578-4CAB-BBFB-CB39EC8D4049}">
  <ds:schemaRefs>
    <ds:schemaRef ds:uri="http://schemas.openxmlformats.org/officeDocument/2006/bibliography"/>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Normal.dotm</Template>
  <TotalTime>1652</TotalTime>
  <Pages>6</Pages>
  <Words>962</Words>
  <Characters>5296</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Angela Milagros Jaico Carhuas</dc:creator>
  <cp:lastModifiedBy>Angela Milagros Jaico Carhuas</cp:lastModifiedBy>
  <cp:revision>28</cp:revision>
  <cp:lastPrinted>2016-10-27T16:39:00Z</cp:lastPrinted>
  <dcterms:created xsi:type="dcterms:W3CDTF">2025-11-06T16:26:00Z</dcterms:created>
  <dcterms:modified xsi:type="dcterms:W3CDTF">2026-08-05T08:38:00Z</dcterms:modified>
</cp:coreProperties>
</file>